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6DD6" w14:textId="77777777" w:rsidR="00360227" w:rsidRPr="00593750" w:rsidRDefault="00BA5823">
      <w:pPr>
        <w:rPr>
          <w:rFonts w:cstheme="minorHAnsi"/>
          <w:sz w:val="20"/>
          <w:szCs w:val="20"/>
        </w:rPr>
      </w:pPr>
      <w:r w:rsidRPr="00593750">
        <w:rPr>
          <w:rFonts w:cstheme="minorHAnsi"/>
          <w:sz w:val="20"/>
          <w:szCs w:val="20"/>
        </w:rPr>
        <w:t xml:space="preserve">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3541"/>
        <w:gridCol w:w="2838"/>
        <w:gridCol w:w="850"/>
        <w:gridCol w:w="1460"/>
      </w:tblGrid>
      <w:tr w:rsidR="00061AAF" w:rsidRPr="00593750" w14:paraId="2DF7EA42" w14:textId="77777777" w:rsidTr="00CE7B6B">
        <w:trPr>
          <w:trHeight w:val="372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  <w:vAlign w:val="center"/>
          </w:tcPr>
          <w:p w14:paraId="67AB9D28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49E9737" wp14:editId="131BE78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623570" cy="737235"/>
                  <wp:effectExtent l="19050" t="0" r="508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DB8EF75" w14:textId="77777777" w:rsidR="00E34D02" w:rsidRP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E34D02">
              <w:rPr>
                <w:rFonts w:ascii="Arial" w:hAnsi="Arial"/>
                <w:sz w:val="28"/>
                <w:szCs w:val="28"/>
              </w:rPr>
              <w:t>Mid Murray Homes for the Aged Inc</w:t>
            </w:r>
          </w:p>
          <w:p w14:paraId="7AC732DE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Cs w:val="18"/>
              </w:rPr>
            </w:pPr>
          </w:p>
          <w:p w14:paraId="46F766E9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Cs w:val="18"/>
              </w:rPr>
            </w:pPr>
          </w:p>
          <w:p w14:paraId="1C33C0A7" w14:textId="77777777" w:rsidR="00593750" w:rsidRPr="00593750" w:rsidRDefault="00593750" w:rsidP="00A100C8">
            <w:pPr>
              <w:pStyle w:val="Title"/>
              <w:jc w:val="left"/>
              <w:rPr>
                <w:rFonts w:cs="Calibri"/>
                <w:sz w:val="20"/>
                <w:szCs w:val="20"/>
              </w:rPr>
            </w:pPr>
          </w:p>
          <w:p w14:paraId="08728F81" w14:textId="77777777" w:rsidR="00061AAF" w:rsidRPr="00593750" w:rsidRDefault="00061AAF" w:rsidP="002E354E">
            <w:pPr>
              <w:pStyle w:val="Title"/>
              <w:spacing w:after="120"/>
              <w:ind w:left="34"/>
              <w:jc w:val="right"/>
              <w:rPr>
                <w:rFonts w:cs="Calibri"/>
                <w:sz w:val="40"/>
                <w:szCs w:val="40"/>
              </w:rPr>
            </w:pPr>
            <w:r w:rsidRPr="00593750">
              <w:rPr>
                <w:rFonts w:cs="Calibri"/>
                <w:color w:val="365F91" w:themeColor="accent1" w:themeShade="BF"/>
                <w:sz w:val="40"/>
                <w:szCs w:val="40"/>
              </w:rPr>
              <w:t>POSITION DESCRIPTION</w:t>
            </w:r>
          </w:p>
        </w:tc>
      </w:tr>
      <w:tr w:rsidR="00F00916" w:rsidRPr="00593750" w14:paraId="4508B198" w14:textId="77777777" w:rsidTr="00CE7B6B">
        <w:trPr>
          <w:trHeight w:val="372"/>
        </w:trPr>
        <w:tc>
          <w:tcPr>
            <w:tcW w:w="8223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1AE2A7C4" w14:textId="77777777" w:rsidR="00F00916" w:rsidRPr="00FB2649" w:rsidRDefault="008A436E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Position Details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044AD01D" w14:textId="77777777" w:rsidR="00F00916" w:rsidRPr="00FB2649" w:rsidRDefault="001C6A97" w:rsidP="005702FF">
            <w:pPr>
              <w:pStyle w:val="Title"/>
              <w:ind w:left="6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46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451EAE12" w14:textId="77777777" w:rsidR="00F00916" w:rsidRPr="00FB2649" w:rsidRDefault="00D14DE8" w:rsidP="004E3CC4">
            <w:pPr>
              <w:pStyle w:val="Title"/>
              <w:ind w:left="34"/>
              <w:jc w:val="left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6DC8" w:rsidRPr="00593750" w14:paraId="08F3E387" w14:textId="77777777" w:rsidTr="00CE7B6B">
        <w:trPr>
          <w:cantSplit/>
          <w:trHeight w:val="334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991F1E0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Position Title:</w:t>
            </w:r>
            <w:r w:rsidRPr="00593750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92086" w14:textId="77777777" w:rsidR="008E6DC8" w:rsidRPr="00CD11A6" w:rsidRDefault="00587AB0" w:rsidP="001C6A97">
            <w:pPr>
              <w:rPr>
                <w:rFonts w:cstheme="minorHAnsi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Enrolled</w:t>
            </w:r>
            <w:r w:rsidR="009A388D">
              <w:rPr>
                <w:bCs w:val="0"/>
                <w:sz w:val="20"/>
                <w:szCs w:val="20"/>
              </w:rPr>
              <w:t xml:space="preserve">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661A226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Employment </w:t>
            </w:r>
            <w:r w:rsidR="001C6A97" w:rsidRPr="00593750">
              <w:rPr>
                <w:rFonts w:cstheme="minorHAnsi"/>
                <w:sz w:val="20"/>
                <w:szCs w:val="20"/>
              </w:rPr>
              <w:t>Status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: </w:t>
            </w:r>
            <w:r w:rsidR="001C6A97" w:rsidRPr="00593750">
              <w:rPr>
                <w:rFonts w:cstheme="minorHAnsi"/>
                <w:sz w:val="20"/>
                <w:szCs w:val="20"/>
              </w:rPr>
              <w:t>Continuing</w:t>
            </w:r>
            <w:r w:rsidR="008E6DC8" w:rsidRPr="00593750">
              <w:rPr>
                <w:rFonts w:cstheme="minorHAnsi"/>
                <w:sz w:val="20"/>
                <w:szCs w:val="20"/>
              </w:rPr>
              <w:t>/Temp</w:t>
            </w:r>
            <w:r w:rsidR="001C6A97" w:rsidRPr="00593750">
              <w:rPr>
                <w:rFonts w:cstheme="minorHAnsi"/>
                <w:sz w:val="20"/>
                <w:szCs w:val="20"/>
              </w:rPr>
              <w:t>orary/Casual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4A96742E" w14:textId="2C0F0367" w:rsidR="008E6DC8" w:rsidRPr="00CD11A6" w:rsidRDefault="008E6DC8" w:rsidP="004E3C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DC8" w:rsidRPr="00593750" w14:paraId="378BA353" w14:textId="77777777" w:rsidTr="00CE7B6B">
        <w:trPr>
          <w:cantSplit/>
          <w:trHeight w:val="357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F6C6B37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Division: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9E729" w14:textId="77777777" w:rsidR="007E2675" w:rsidRPr="00BB04D1" w:rsidRDefault="00E91AC8" w:rsidP="00677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Murray Homes for the Aged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D05E2FE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FTE</w:t>
            </w:r>
            <w:r w:rsidR="008E6DC8" w:rsidRPr="00593750">
              <w:rPr>
                <w:rFonts w:cstheme="minorHAnsi"/>
                <w:sz w:val="20"/>
                <w:szCs w:val="20"/>
              </w:rPr>
              <w:t>: Full-time/Part-time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35E1EE9C" w14:textId="58B01DCD" w:rsidR="008E6DC8" w:rsidRPr="00CD11A6" w:rsidRDefault="008E6DC8" w:rsidP="00805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DC8" w:rsidRPr="00593750" w14:paraId="4253B51A" w14:textId="77777777" w:rsidTr="00CE7B6B">
        <w:trPr>
          <w:cantSplit/>
          <w:trHeight w:val="35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3057A07" w14:textId="77777777" w:rsidR="008E6DC8" w:rsidRPr="00593750" w:rsidRDefault="008E6DC8" w:rsidP="00641341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Business Unit: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70DFA" w14:textId="77777777" w:rsidR="008E6DC8" w:rsidRPr="00BB04D1" w:rsidRDefault="002A5FE8" w:rsidP="00A25C9B">
            <w:pPr>
              <w:pStyle w:val="Heading1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Aminya </w:t>
            </w:r>
            <w:r w:rsidR="00EC48F3">
              <w:rPr>
                <w:rFonts w:cstheme="minorHAnsi"/>
                <w:b w:val="0"/>
                <w:sz w:val="20"/>
                <w:szCs w:val="20"/>
              </w:rPr>
              <w:t xml:space="preserve">Residential Aged </w:t>
            </w:r>
            <w:r w:rsidR="009A388D">
              <w:rPr>
                <w:rFonts w:cstheme="minorHAnsi"/>
                <w:b w:val="0"/>
                <w:sz w:val="20"/>
                <w:szCs w:val="20"/>
              </w:rPr>
              <w:t xml:space="preserve">Care 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94FE279" w14:textId="77777777" w:rsidR="008E6DC8" w:rsidRPr="00593750" w:rsidRDefault="008E6DC8" w:rsidP="007D28E3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Award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/</w:t>
            </w:r>
            <w:r w:rsidRPr="00593750">
              <w:rPr>
                <w:rFonts w:cstheme="minorHAnsi"/>
                <w:sz w:val="20"/>
                <w:szCs w:val="20"/>
              </w:rPr>
              <w:t>Level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or Grade</w:t>
            </w:r>
          </w:p>
          <w:p w14:paraId="38B024B3" w14:textId="5926B28A" w:rsidR="005A79C6" w:rsidRPr="00593750" w:rsidRDefault="008C0567" w:rsidP="005A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 Murray Homes for the Aged Incorporated Nursing </w:t>
            </w:r>
            <w:r w:rsidR="001B2FC4">
              <w:rPr>
                <w:sz w:val="20"/>
                <w:szCs w:val="20"/>
              </w:rPr>
              <w:t>Staff &amp; ANMF</w:t>
            </w:r>
            <w:r>
              <w:rPr>
                <w:sz w:val="20"/>
                <w:szCs w:val="20"/>
              </w:rPr>
              <w:t xml:space="preserve"> Enterprise Agreement</w:t>
            </w:r>
            <w:r w:rsidR="009A388D">
              <w:rPr>
                <w:sz w:val="20"/>
                <w:szCs w:val="20"/>
              </w:rPr>
              <w:t xml:space="preserve"> 201</w:t>
            </w:r>
            <w:r w:rsidR="00D34AA7">
              <w:rPr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587CAF08" w14:textId="3617F195" w:rsidR="008E6DC8" w:rsidRPr="00CD11A6" w:rsidRDefault="001C31E6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Aminya EA 201</w:t>
            </w:r>
            <w:r w:rsidR="00C465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D28E3" w:rsidRPr="00593750" w14:paraId="5AC1992A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0576F34" w14:textId="77777777" w:rsidR="007D28E3" w:rsidRPr="00593750" w:rsidRDefault="007D28E3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Reports To: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1DFAD" w14:textId="77777777" w:rsidR="007D28E3" w:rsidRPr="00BB04D1" w:rsidRDefault="00AD48A7" w:rsidP="008055C8">
            <w:pPr>
              <w:pStyle w:val="Heading1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In Charge</w:t>
            </w:r>
            <w:r w:rsidR="00CD424E">
              <w:rPr>
                <w:rFonts w:cs="Calibri"/>
                <w:b w:val="0"/>
                <w:sz w:val="20"/>
                <w:szCs w:val="20"/>
              </w:rPr>
              <w:t xml:space="preserve">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0FEDC1F" w14:textId="77777777" w:rsidR="007D28E3" w:rsidRPr="00593750" w:rsidRDefault="007D28E3" w:rsidP="00E942AD">
            <w:pPr>
              <w:pStyle w:val="FootnoteText"/>
              <w:rPr>
                <w:rFonts w:cs="Calibri"/>
                <w:b/>
                <w:sz w:val="20"/>
              </w:rPr>
            </w:pPr>
            <w:r w:rsidRPr="00593750">
              <w:rPr>
                <w:rFonts w:cs="Calibri"/>
                <w:b/>
                <w:sz w:val="20"/>
              </w:rPr>
              <w:t>Date Last Reviewed: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0C4F56CC" w14:textId="2512790E" w:rsidR="007D28E3" w:rsidRPr="00CD11A6" w:rsidRDefault="00713E29" w:rsidP="00CD1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 2020</w:t>
            </w:r>
          </w:p>
        </w:tc>
      </w:tr>
      <w:tr w:rsidR="007D28E3" w:rsidRPr="00593750" w14:paraId="7D3E37EC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01DBDEB" w14:textId="77777777" w:rsidR="007D28E3" w:rsidRPr="00593750" w:rsidRDefault="005A088F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Direct Reports</w:t>
            </w:r>
            <w:r w:rsidR="007D28E3" w:rsidRPr="0059375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200BBC29" w14:textId="77777777" w:rsidR="007D28E3" w:rsidRPr="00BB04D1" w:rsidRDefault="00BB04D1" w:rsidP="00D31C5E">
            <w:pPr>
              <w:rPr>
                <w:rFonts w:cs="Calibr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Nil</w:t>
            </w:r>
          </w:p>
        </w:tc>
      </w:tr>
      <w:tr w:rsidR="00D31C5E" w:rsidRPr="00593750" w14:paraId="1FEBCE40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6F4606E" w14:textId="77777777" w:rsidR="00D31C5E" w:rsidRPr="00593750" w:rsidRDefault="00D31C5E" w:rsidP="0033110E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Relationships Internal: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78243400" w14:textId="77777777" w:rsidR="00D31C5E" w:rsidRPr="00BB04D1" w:rsidRDefault="00BB04D1" w:rsidP="00593750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This position is required to have effective relationships and communications with all staff</w:t>
            </w:r>
            <w:r w:rsidR="00040BD6">
              <w:rPr>
                <w:rFonts w:cs="Calibri"/>
                <w:sz w:val="20"/>
                <w:szCs w:val="20"/>
              </w:rPr>
              <w:t xml:space="preserve"> and residents.</w:t>
            </w:r>
          </w:p>
        </w:tc>
      </w:tr>
      <w:tr w:rsidR="00D31C5E" w:rsidRPr="00593750" w14:paraId="5D2258FC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454369B" w14:textId="77777777" w:rsidR="00D31C5E" w:rsidRPr="00593750" w:rsidRDefault="00D31C5E" w:rsidP="0033110E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Relationships External: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1DBFAB7B" w14:textId="77777777" w:rsidR="00D31C5E" w:rsidRPr="00CD11A6" w:rsidRDefault="00BB04D1" w:rsidP="007041BC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CD11A6">
              <w:rPr>
                <w:rFonts w:cstheme="minorHAnsi"/>
                <w:sz w:val="20"/>
                <w:szCs w:val="20"/>
              </w:rPr>
              <w:t xml:space="preserve">The position interacts and communicates with all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stakeholders in the aged care sector and broader service sector </w:t>
            </w:r>
            <w:r w:rsidR="00AC2138">
              <w:rPr>
                <w:rFonts w:cstheme="minorHAnsi"/>
                <w:sz w:val="20"/>
                <w:szCs w:val="20"/>
              </w:rPr>
              <w:t xml:space="preserve">including </w:t>
            </w:r>
            <w:r w:rsidR="007041BC">
              <w:rPr>
                <w:rFonts w:cstheme="minorHAnsi"/>
                <w:sz w:val="20"/>
                <w:szCs w:val="20"/>
              </w:rPr>
              <w:t>physical</w:t>
            </w:r>
            <w:r w:rsidR="00AC2138">
              <w:rPr>
                <w:rFonts w:cstheme="minorHAnsi"/>
                <w:sz w:val="20"/>
                <w:szCs w:val="20"/>
              </w:rPr>
              <w:t xml:space="preserve"> </w:t>
            </w:r>
            <w:r w:rsidR="007041BC">
              <w:rPr>
                <w:rFonts w:cstheme="minorHAnsi"/>
                <w:sz w:val="20"/>
                <w:szCs w:val="20"/>
              </w:rPr>
              <w:t xml:space="preserve">and </w:t>
            </w:r>
            <w:r w:rsidR="00AC2138">
              <w:rPr>
                <w:rFonts w:cstheme="minorHAnsi"/>
                <w:sz w:val="20"/>
                <w:szCs w:val="20"/>
              </w:rPr>
              <w:t xml:space="preserve">mental health, </w:t>
            </w:r>
            <w:r w:rsidR="00CD11A6" w:rsidRPr="00CD11A6">
              <w:rPr>
                <w:rFonts w:cstheme="minorHAnsi"/>
                <w:sz w:val="20"/>
                <w:szCs w:val="20"/>
              </w:rPr>
              <w:t>training and education.</w:t>
            </w:r>
            <w:r w:rsidRPr="00CD11A6">
              <w:rPr>
                <w:rFonts w:cstheme="minorHAnsi"/>
                <w:sz w:val="20"/>
                <w:szCs w:val="20"/>
              </w:rPr>
              <w:t xml:space="preserve"> This includes liaison </w:t>
            </w:r>
            <w:r w:rsidR="007041BC">
              <w:rPr>
                <w:rFonts w:cstheme="minorHAnsi"/>
                <w:sz w:val="20"/>
                <w:szCs w:val="20"/>
              </w:rPr>
              <w:t>with</w:t>
            </w:r>
            <w:r w:rsidRPr="00CD11A6">
              <w:rPr>
                <w:rFonts w:cstheme="minorHAnsi"/>
                <w:sz w:val="20"/>
                <w:szCs w:val="20"/>
              </w:rPr>
              <w:t xml:space="preserve"> community networks with a range of external agencies, service providers, </w:t>
            </w:r>
            <w:r w:rsidR="000C79DD">
              <w:rPr>
                <w:rFonts w:cstheme="minorHAnsi"/>
                <w:sz w:val="20"/>
                <w:szCs w:val="20"/>
              </w:rPr>
              <w:t>business</w:t>
            </w:r>
            <w:r w:rsidRPr="00CD11A6">
              <w:rPr>
                <w:rFonts w:cstheme="minorHAnsi"/>
                <w:sz w:val="20"/>
                <w:szCs w:val="20"/>
              </w:rPr>
              <w:t xml:space="preserve"> authorities and all cultures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including </w:t>
            </w:r>
            <w:r w:rsidR="00D91BD2">
              <w:rPr>
                <w:rFonts w:cstheme="minorHAnsi"/>
                <w:sz w:val="20"/>
                <w:szCs w:val="20"/>
              </w:rPr>
              <w:t>homeless</w:t>
            </w:r>
            <w:r w:rsidRPr="00CD11A6">
              <w:rPr>
                <w:rFonts w:cstheme="minorHAnsi"/>
                <w:sz w:val="20"/>
                <w:szCs w:val="20"/>
              </w:rPr>
              <w:t xml:space="preserve"> an</w:t>
            </w:r>
            <w:r w:rsidR="00CD11A6" w:rsidRPr="00CD11A6">
              <w:rPr>
                <w:rFonts w:cstheme="minorHAnsi"/>
                <w:sz w:val="20"/>
                <w:szCs w:val="20"/>
              </w:rPr>
              <w:t>d vulnerable sector</w:t>
            </w:r>
            <w:r w:rsidRPr="00CD11A6">
              <w:rPr>
                <w:rFonts w:cstheme="minorHAnsi"/>
                <w:sz w:val="20"/>
                <w:szCs w:val="20"/>
              </w:rPr>
              <w:t>s of the community.</w:t>
            </w:r>
          </w:p>
        </w:tc>
      </w:tr>
      <w:tr w:rsidR="00D31C5E" w:rsidRPr="00593750" w14:paraId="25E3844C" w14:textId="77777777" w:rsidTr="004541DB">
        <w:trPr>
          <w:trHeight w:val="391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09BCAA72" w14:textId="77777777" w:rsidR="00D31C5E" w:rsidRPr="00FB2649" w:rsidRDefault="00C648A0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Aminya Values</w:t>
            </w:r>
          </w:p>
        </w:tc>
      </w:tr>
      <w:tr w:rsidR="00500544" w:rsidRPr="00593750" w14:paraId="4CC7088E" w14:textId="77777777" w:rsidTr="004541DB">
        <w:trPr>
          <w:trHeight w:val="2254"/>
        </w:trPr>
        <w:tc>
          <w:tcPr>
            <w:tcW w:w="1702" w:type="dxa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729E2" w14:textId="77777777" w:rsidR="00500544" w:rsidRDefault="00500544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Vision</w:t>
            </w:r>
          </w:p>
          <w:p w14:paraId="3EEE8783" w14:textId="77777777" w:rsidR="00500544" w:rsidRDefault="00500544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5FD18035" w14:textId="77777777" w:rsidR="00500544" w:rsidRDefault="00500544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0330665F" w14:textId="77777777" w:rsidR="00500544" w:rsidRDefault="00500544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72D3FA50" w14:textId="77777777" w:rsidR="00500544" w:rsidRDefault="00500544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4936CAEC" w14:textId="77777777" w:rsidR="00500544" w:rsidRDefault="00500544">
            <w:pPr>
              <w:tabs>
                <w:tab w:val="left" w:pos="1315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Mission</w:t>
            </w:r>
          </w:p>
          <w:p w14:paraId="561393E1" w14:textId="77777777" w:rsidR="00500544" w:rsidRDefault="00500544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sz w:val="20"/>
                <w:szCs w:val="20"/>
              </w:rPr>
            </w:pPr>
          </w:p>
          <w:p w14:paraId="481CF7E7" w14:textId="77777777" w:rsidR="00500544" w:rsidRDefault="00500544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1A5F389B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520B440F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153EE4AB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28D73935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63BA6BDC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01C8CD50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0F79293E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362FE553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667D7BAA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76FE12C7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0C235D53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43BFE489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33AF3C21" w14:textId="77777777" w:rsidR="00500544" w:rsidRDefault="00500544">
            <w:pPr>
              <w:rPr>
                <w:rFonts w:cs="Calibri"/>
                <w:sz w:val="20"/>
                <w:szCs w:val="20"/>
              </w:rPr>
            </w:pPr>
          </w:p>
          <w:p w14:paraId="64A28817" w14:textId="77777777" w:rsidR="00500544" w:rsidRDefault="0050054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Philosophy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</w:tcPr>
          <w:p w14:paraId="4A4BCCD8" w14:textId="77777777" w:rsidR="00500544" w:rsidRDefault="00500544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vision is to be recognised as an organisation which promotes a  positive and                                                  innovative environment for our resident’s by ensuring the delivery of high quality care services through consultation and quality management</w:t>
            </w:r>
          </w:p>
          <w:p w14:paraId="58FE6949" w14:textId="77777777" w:rsidR="00500544" w:rsidRDefault="00500544">
            <w:pPr>
              <w:spacing w:line="276" w:lineRule="auto"/>
              <w:ind w:left="-108"/>
              <w:rPr>
                <w:rFonts w:cs="Calibri"/>
                <w:sz w:val="20"/>
                <w:szCs w:val="20"/>
              </w:rPr>
            </w:pPr>
          </w:p>
          <w:p w14:paraId="331A0829" w14:textId="77777777" w:rsidR="00500544" w:rsidRDefault="00500544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8B7E34A" w14:textId="77777777" w:rsidR="00500544" w:rsidRDefault="00500544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mission is to promote and enhance the quality of life of the residents entrusted to our care. The following statements support our commitment to our mission:</w:t>
            </w:r>
          </w:p>
          <w:p w14:paraId="119751EC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are treated with dignity and respect</w:t>
            </w:r>
          </w:p>
          <w:p w14:paraId="752E7B83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feel safe and secure in their home</w:t>
            </w:r>
          </w:p>
          <w:p w14:paraId="134533F3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religious and cultural identity is respected and nurtured</w:t>
            </w:r>
          </w:p>
          <w:p w14:paraId="60E69F5B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sexual expression, sexual  orientation and intimate preferences are respected and supported</w:t>
            </w:r>
          </w:p>
          <w:p w14:paraId="0A7C5B1A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residents receive an appropriate standard of care to meet their individual needs without encroaching on their  right to maintain their independence   </w:t>
            </w:r>
          </w:p>
          <w:p w14:paraId="5FBF9D48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are supported to conduct activities that carry an element of risk through consultation and risk mitigation strategies</w:t>
            </w:r>
          </w:p>
          <w:p w14:paraId="5501ACC5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residents’ privacy and confidentiality is upheld</w:t>
            </w:r>
          </w:p>
          <w:p w14:paraId="3C4DE4B2" w14:textId="77777777" w:rsidR="00500544" w:rsidRDefault="00500544" w:rsidP="0050054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are always treated as individuals; and acknowledged as the experts in their own care.</w:t>
            </w:r>
          </w:p>
          <w:p w14:paraId="134B666B" w14:textId="77777777" w:rsidR="00500544" w:rsidRDefault="00500544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4EA4E3F9" w14:textId="77777777" w:rsidR="00500544" w:rsidRDefault="00500544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26CA9DC7" w14:textId="77777777" w:rsidR="00500544" w:rsidRDefault="0050054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our belief that the residents of Aminya should continue to live a fulfilling and purposeful life by maintaining their relationships, preferences and individuality.</w:t>
            </w:r>
          </w:p>
          <w:p w14:paraId="4613985C" w14:textId="77777777" w:rsidR="00500544" w:rsidRDefault="0050054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our hope that each and every resident will consider Aminya to be their home.</w:t>
            </w:r>
          </w:p>
          <w:p w14:paraId="78C8DCAE" w14:textId="77777777" w:rsidR="00500544" w:rsidRDefault="00500544">
            <w:pPr>
              <w:tabs>
                <w:tab w:val="left" w:pos="1294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1C5E" w:rsidRPr="00593750" w14:paraId="384BAFA2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0AA0077B" w14:textId="77777777" w:rsidR="00D31C5E" w:rsidRPr="00FB2649" w:rsidRDefault="008A436E" w:rsidP="008F72EB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Primary Purpose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of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Position 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[relate to </w:t>
            </w:r>
            <w:r w:rsidR="008F72EB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Aminya’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S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trategic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P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lan and long-term objectives]</w:t>
            </w:r>
          </w:p>
        </w:tc>
      </w:tr>
      <w:tr w:rsidR="00D31C5E" w:rsidRPr="00593750" w14:paraId="251D332E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FFFFFF"/>
          </w:tcPr>
          <w:p w14:paraId="4A9DAB4C" w14:textId="77777777" w:rsidR="008A51C5" w:rsidRDefault="00913E1E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587AB0">
              <w:rPr>
                <w:rFonts w:eastAsiaTheme="minorHAnsi" w:cstheme="minorBidi"/>
                <w:bCs w:val="0"/>
                <w:sz w:val="20"/>
                <w:szCs w:val="20"/>
              </w:rPr>
              <w:t>Enrolled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 xml:space="preserve"> Nurse</w:t>
            </w:r>
            <w:r w:rsidRPr="00E42956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>i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>n accordance with the vision, mission and values of Aminya is responsible for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providing a quality nursing service that meets the needs of residents.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587AB0">
              <w:rPr>
                <w:rFonts w:eastAsiaTheme="minorHAnsi" w:cstheme="minorBidi"/>
                <w:bCs w:val="0"/>
                <w:sz w:val="20"/>
                <w:szCs w:val="20"/>
              </w:rPr>
              <w:t>Enrolled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Nurse is responsible for providing leadership and front-line supervision to Personal Care Assistants including the allocation of duties.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aim is to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also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facilitate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national aged care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service reform and improve service cooperation and coordination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>within Aminya’s Hostel and village community.</w:t>
            </w:r>
          </w:p>
          <w:p w14:paraId="1DC16D76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2090FC18" w14:textId="77777777" w:rsidR="008A51C5" w:rsidRDefault="008A51C5" w:rsidP="00913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07E0F">
              <w:rPr>
                <w:sz w:val="20"/>
                <w:szCs w:val="20"/>
              </w:rPr>
              <w:t>Enrolled</w:t>
            </w:r>
            <w:r w:rsidR="00701640">
              <w:rPr>
                <w:sz w:val="20"/>
                <w:szCs w:val="20"/>
              </w:rPr>
              <w:t xml:space="preserve"> Nurse</w:t>
            </w:r>
            <w:r>
              <w:rPr>
                <w:sz w:val="20"/>
                <w:szCs w:val="20"/>
              </w:rPr>
              <w:t xml:space="preserve"> reports</w:t>
            </w:r>
            <w:r w:rsidRPr="00E42956">
              <w:rPr>
                <w:sz w:val="20"/>
                <w:szCs w:val="20"/>
              </w:rPr>
              <w:t xml:space="preserve"> </w:t>
            </w:r>
            <w:r w:rsidR="00597FDC">
              <w:rPr>
                <w:sz w:val="20"/>
                <w:szCs w:val="20"/>
              </w:rPr>
              <w:t xml:space="preserve">directly </w:t>
            </w:r>
            <w:r w:rsidRPr="00E42956">
              <w:rPr>
                <w:sz w:val="20"/>
                <w:szCs w:val="20"/>
              </w:rPr>
              <w:t xml:space="preserve">to </w:t>
            </w:r>
            <w:r w:rsidR="00597FDC">
              <w:rPr>
                <w:sz w:val="20"/>
                <w:szCs w:val="20"/>
              </w:rPr>
              <w:t xml:space="preserve">the </w:t>
            </w:r>
            <w:r w:rsidR="005A1FA5">
              <w:rPr>
                <w:sz w:val="20"/>
                <w:szCs w:val="20"/>
              </w:rPr>
              <w:t>Clinical</w:t>
            </w:r>
            <w:r w:rsidR="00701640">
              <w:rPr>
                <w:sz w:val="20"/>
                <w:szCs w:val="20"/>
              </w:rPr>
              <w:t xml:space="preserve"> Nurse</w:t>
            </w:r>
            <w:r>
              <w:rPr>
                <w:sz w:val="20"/>
                <w:szCs w:val="20"/>
              </w:rPr>
              <w:t xml:space="preserve"> and works with </w:t>
            </w:r>
            <w:r w:rsidR="00597FDC">
              <w:rPr>
                <w:sz w:val="20"/>
                <w:szCs w:val="20"/>
              </w:rPr>
              <w:t xml:space="preserve">and in conjunction with </w:t>
            </w:r>
            <w:r w:rsidRPr="00E42956">
              <w:rPr>
                <w:sz w:val="20"/>
                <w:szCs w:val="20"/>
              </w:rPr>
              <w:t xml:space="preserve">the </w:t>
            </w:r>
            <w:r w:rsidR="00597FDC">
              <w:rPr>
                <w:sz w:val="20"/>
                <w:szCs w:val="20"/>
              </w:rPr>
              <w:t>Aminya nursing</w:t>
            </w:r>
            <w:r w:rsidR="00B56217">
              <w:rPr>
                <w:sz w:val="20"/>
                <w:szCs w:val="20"/>
              </w:rPr>
              <w:t xml:space="preserve"> and ancillary staff</w:t>
            </w:r>
            <w:r w:rsidR="00E1364A">
              <w:rPr>
                <w:sz w:val="20"/>
                <w:szCs w:val="20"/>
              </w:rPr>
              <w:t>,</w:t>
            </w:r>
            <w:r w:rsidR="00B56217">
              <w:rPr>
                <w:sz w:val="20"/>
                <w:szCs w:val="20"/>
              </w:rPr>
              <w:t xml:space="preserve"> which has</w:t>
            </w:r>
            <w:r w:rsidRPr="00E42956">
              <w:rPr>
                <w:sz w:val="20"/>
                <w:szCs w:val="20"/>
              </w:rPr>
              <w:t xml:space="preserve"> a</w:t>
            </w:r>
            <w:r w:rsidR="00B56217">
              <w:rPr>
                <w:sz w:val="20"/>
                <w:szCs w:val="20"/>
              </w:rPr>
              <w:t>n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>interface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 xml:space="preserve">with </w:t>
            </w:r>
            <w:r w:rsidR="002E2E00">
              <w:rPr>
                <w:sz w:val="20"/>
                <w:szCs w:val="20"/>
              </w:rPr>
              <w:t>other</w:t>
            </w:r>
            <w:r w:rsidR="00B56217">
              <w:rPr>
                <w:sz w:val="20"/>
                <w:szCs w:val="20"/>
              </w:rPr>
              <w:t xml:space="preserve"> aged care </w:t>
            </w:r>
            <w:r w:rsidR="00E1364A">
              <w:rPr>
                <w:sz w:val="20"/>
                <w:szCs w:val="20"/>
              </w:rPr>
              <w:t>services</w:t>
            </w:r>
            <w:r w:rsidR="002E2E00">
              <w:rPr>
                <w:sz w:val="20"/>
                <w:szCs w:val="20"/>
              </w:rPr>
              <w:t xml:space="preserve"> providers</w:t>
            </w:r>
            <w:r w:rsidR="00B56217">
              <w:rPr>
                <w:sz w:val="20"/>
                <w:szCs w:val="20"/>
              </w:rPr>
              <w:t xml:space="preserve">. </w:t>
            </w:r>
            <w:r w:rsidR="002E2E00">
              <w:rPr>
                <w:sz w:val="20"/>
                <w:szCs w:val="20"/>
              </w:rPr>
              <w:t xml:space="preserve">Maintaining a business </w:t>
            </w:r>
            <w:r w:rsidRPr="00E42956">
              <w:rPr>
                <w:sz w:val="20"/>
                <w:szCs w:val="20"/>
              </w:rPr>
              <w:t xml:space="preserve">network that supports the work of organisations </w:t>
            </w:r>
            <w:r w:rsidR="002E2E00">
              <w:rPr>
                <w:sz w:val="20"/>
                <w:szCs w:val="20"/>
              </w:rPr>
              <w:t>striving</w:t>
            </w:r>
            <w:r w:rsidRPr="00E42956">
              <w:rPr>
                <w:sz w:val="20"/>
                <w:szCs w:val="20"/>
              </w:rPr>
              <w:t xml:space="preserve"> to </w:t>
            </w:r>
            <w:r w:rsidR="00B56217">
              <w:rPr>
                <w:sz w:val="20"/>
                <w:szCs w:val="20"/>
              </w:rPr>
              <w:t>assist</w:t>
            </w:r>
            <w:r w:rsidRPr="00E42956">
              <w:rPr>
                <w:sz w:val="20"/>
                <w:szCs w:val="20"/>
              </w:rPr>
              <w:t xml:space="preserve"> frail older people </w:t>
            </w:r>
            <w:r>
              <w:rPr>
                <w:sz w:val="20"/>
                <w:szCs w:val="20"/>
              </w:rPr>
              <w:t xml:space="preserve">and their carers </w:t>
            </w:r>
            <w:r w:rsidRPr="00E42956">
              <w:rPr>
                <w:sz w:val="20"/>
                <w:szCs w:val="20"/>
              </w:rPr>
              <w:t>living in the community</w:t>
            </w:r>
            <w:r>
              <w:rPr>
                <w:sz w:val="20"/>
                <w:szCs w:val="20"/>
              </w:rPr>
              <w:t>.</w:t>
            </w:r>
          </w:p>
          <w:p w14:paraId="7523EF58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7EA1FFDF" w14:textId="77777777" w:rsidR="008A51C5" w:rsidRDefault="00BA5E61" w:rsidP="008A51C5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8A51C5" w:rsidRPr="008A51C5">
              <w:rPr>
                <w:sz w:val="20"/>
                <w:szCs w:val="20"/>
              </w:rPr>
              <w:t xml:space="preserve"> key focus is to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assist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all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staff 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with </w:t>
            </w:r>
            <w:r w:rsidR="003165A2">
              <w:rPr>
                <w:rFonts w:eastAsiaTheme="minorHAnsi" w:cstheme="minorBidi"/>
                <w:bCs w:val="0"/>
                <w:sz w:val="20"/>
                <w:szCs w:val="20"/>
              </w:rPr>
              <w:t>providing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aged care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services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with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in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Aminya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and to identify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innovative and responsive projects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>,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underpinned by a philosophy of wellness and </w:t>
            </w:r>
            <w:r w:rsidR="009649DE">
              <w:rPr>
                <w:rFonts w:eastAsiaTheme="minorHAnsi" w:cstheme="minorBidi"/>
                <w:bCs w:val="0"/>
                <w:sz w:val="20"/>
                <w:szCs w:val="20"/>
              </w:rPr>
              <w:t>enablement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to maximize independence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.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This will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facilitate collaborative 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>and support aged care service stakeholders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contribute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to sector support and development in the delivery of high quality entry level care services for clients.</w:t>
            </w:r>
          </w:p>
          <w:p w14:paraId="27E2066C" w14:textId="77777777" w:rsidR="00496DBA" w:rsidRPr="008055C8" w:rsidRDefault="00496DBA" w:rsidP="00496D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604E" w:rsidRPr="00593750" w14:paraId="1B4D4F7B" w14:textId="77777777" w:rsidTr="00F77A23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C412C4C" w14:textId="77777777" w:rsidR="00BE604E" w:rsidRPr="00FB2649" w:rsidRDefault="008A436E" w:rsidP="00593750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Process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and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Service Responsibilities</w:t>
            </w:r>
          </w:p>
        </w:tc>
      </w:tr>
      <w:tr w:rsidR="00DA0280" w:rsidRPr="00593750" w14:paraId="2944B85A" w14:textId="77777777" w:rsidTr="00CE7B6B">
        <w:trPr>
          <w:cantSplit/>
          <w:trHeight w:val="22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FEEDC80" w14:textId="77777777" w:rsidR="00DA0280" w:rsidRPr="00BB04D1" w:rsidRDefault="00CD11A6" w:rsidP="00CD11A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Sector and Community Stakeholder</w:t>
            </w:r>
            <w:r w:rsidR="00BB04D1" w:rsidRPr="00BB04D1">
              <w:rPr>
                <w:rFonts w:cstheme="minorHAnsi"/>
                <w:sz w:val="20"/>
                <w:szCs w:val="20"/>
              </w:rPr>
              <w:t xml:space="preserve"> Support</w:t>
            </w:r>
            <w:r w:rsidR="005037ED" w:rsidRPr="00BB04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8E0AE5" w14:textId="77777777" w:rsidR="00A77973" w:rsidRPr="00593750" w:rsidRDefault="00A77973" w:rsidP="0059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C612146" w14:textId="77777777" w:rsidR="00F7724B" w:rsidRDefault="00F7724B" w:rsidP="000502A0">
      <w:pPr>
        <w:ind w:right="-141"/>
        <w:rPr>
          <w:rFonts w:cs="Calibri"/>
          <w:b/>
          <w:color w:val="365F91" w:themeColor="accent1" w:themeShade="BF"/>
          <w:sz w:val="28"/>
          <w:szCs w:val="28"/>
        </w:rPr>
      </w:pPr>
    </w:p>
    <w:p w14:paraId="45464655" w14:textId="77777777" w:rsidR="00713270" w:rsidRPr="00593750" w:rsidRDefault="00F7724B" w:rsidP="00713270">
      <w:pPr>
        <w:ind w:right="-141"/>
        <w:jc w:val="right"/>
        <w:rPr>
          <w:rFonts w:cs="Calibri"/>
          <w:b/>
          <w:color w:val="365F91" w:themeColor="accent1" w:themeShade="BF"/>
          <w:sz w:val="28"/>
          <w:szCs w:val="28"/>
        </w:rPr>
      </w:pPr>
      <w:r>
        <w:rPr>
          <w:rFonts w:cs="Calibri"/>
          <w:b/>
          <w:color w:val="365F91" w:themeColor="accent1" w:themeShade="BF"/>
          <w:sz w:val="28"/>
          <w:szCs w:val="28"/>
        </w:rPr>
        <w:t>P</w:t>
      </w:r>
      <w:r w:rsidR="00B20616" w:rsidRPr="00593750">
        <w:rPr>
          <w:rFonts w:cs="Calibri"/>
          <w:b/>
          <w:color w:val="365F91" w:themeColor="accent1" w:themeShade="BF"/>
          <w:sz w:val="28"/>
          <w:szCs w:val="28"/>
        </w:rPr>
        <w:t>ERSON SPECIFICATION</w:t>
      </w:r>
    </w:p>
    <w:p w14:paraId="340504CB" w14:textId="77777777" w:rsidR="00FC2E8E" w:rsidRPr="00593750" w:rsidRDefault="00FC2E8E">
      <w:pPr>
        <w:rPr>
          <w:rFonts w:cstheme="minorHAnsi"/>
          <w:sz w:val="20"/>
          <w:szCs w:val="20"/>
        </w:rPr>
      </w:pPr>
    </w:p>
    <w:tbl>
      <w:tblPr>
        <w:tblW w:w="10488" w:type="dxa"/>
        <w:tblInd w:w="-8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2805"/>
        <w:gridCol w:w="7683"/>
      </w:tblGrid>
      <w:tr w:rsidR="008E6558" w:rsidRPr="00593750" w14:paraId="4CEA6365" w14:textId="77777777" w:rsidTr="00CE7B6B">
        <w:trPr>
          <w:cantSplit/>
          <w:trHeight w:val="345"/>
        </w:trPr>
        <w:tc>
          <w:tcPr>
            <w:tcW w:w="2568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3F95B863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Criterion</w:t>
            </w:r>
          </w:p>
        </w:tc>
        <w:tc>
          <w:tcPr>
            <w:tcW w:w="7920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336699"/>
            <w:vAlign w:val="center"/>
          </w:tcPr>
          <w:p w14:paraId="6DCF833B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26082E" w:rsidRPr="00593750" w14:paraId="4FBE1A9A" w14:textId="77777777" w:rsidTr="00CE7B6B">
        <w:trPr>
          <w:cantSplit/>
          <w:trHeight w:val="436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6F4085C" w14:textId="77777777" w:rsidR="00A1366A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Essential Qualifications</w:t>
            </w:r>
          </w:p>
          <w:p w14:paraId="6AF19620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1192842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4D2A55B3" w14:textId="77777777" w:rsidR="0026082E" w:rsidRPr="00593750" w:rsidRDefault="00624773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Desirable </w:t>
            </w:r>
            <w:r w:rsidR="0026082E" w:rsidRPr="00593750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C26992E" w14:textId="77777777" w:rsidR="00F63AED" w:rsidRPr="00F63AED" w:rsidRDefault="00F63AED" w:rsidP="00F63AED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Current registration with AHPRA (Australian Health Practitioner Regulation Agency)</w:t>
            </w:r>
          </w:p>
          <w:p w14:paraId="1FCF5BCB" w14:textId="77777777" w:rsidR="006F1140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Experiencing in the nursing care of the elderly</w:t>
            </w:r>
          </w:p>
          <w:p w14:paraId="71014BBE" w14:textId="77777777" w:rsidR="006F1140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Good working knowledge of ACFI (Aged Care Funding Instrument)</w:t>
            </w:r>
          </w:p>
          <w:p w14:paraId="59C39F6C" w14:textId="77777777" w:rsidR="006F1140" w:rsidRPr="00CD11A6" w:rsidRDefault="006F1140" w:rsidP="00CD11A6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Experience using computerised clinical documentation systems</w:t>
            </w:r>
            <w:r w:rsidR="00FA1362">
              <w:rPr>
                <w:color w:val="000000"/>
                <w:sz w:val="20"/>
              </w:rPr>
              <w:t xml:space="preserve"> in support of the Clinical Nurse as directed</w:t>
            </w:r>
          </w:p>
          <w:p w14:paraId="40C7E58D" w14:textId="77777777" w:rsidR="0026082E" w:rsidRPr="00CD11A6" w:rsidRDefault="0026082E" w:rsidP="000C79DD">
            <w:pPr>
              <w:pStyle w:val="Tablenormal0"/>
              <w:spacing w:before="0" w:after="0"/>
              <w:rPr>
                <w:rFonts w:ascii="Century Gothic" w:hAnsi="Century Gothic" w:cstheme="minorHAnsi"/>
                <w:szCs w:val="22"/>
              </w:rPr>
            </w:pPr>
          </w:p>
        </w:tc>
      </w:tr>
      <w:tr w:rsidR="0026082E" w:rsidRPr="00593750" w14:paraId="013A8AF9" w14:textId="77777777" w:rsidTr="00CD11A6">
        <w:trPr>
          <w:cantSplit/>
          <w:trHeight w:val="1993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B0F719E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Experience</w:t>
            </w:r>
            <w:r w:rsidR="00D5546D">
              <w:rPr>
                <w:rFonts w:cstheme="minorHAnsi"/>
                <w:b/>
                <w:sz w:val="20"/>
                <w:szCs w:val="20"/>
              </w:rPr>
              <w:t>/Understanding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A8694EA" w14:textId="77777777" w:rsidR="00CC5E60" w:rsidRDefault="00CC5E60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with the aged</w:t>
            </w:r>
          </w:p>
          <w:p w14:paraId="080B98AC" w14:textId="77777777" w:rsidR="00F63AED" w:rsidRDefault="00F63AED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ageing process</w:t>
            </w:r>
          </w:p>
          <w:p w14:paraId="3FECB2C9" w14:textId="77777777" w:rsidR="00CD11A6" w:rsidRPr="00CD11A6" w:rsidRDefault="00F37D8E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01261">
              <w:rPr>
                <w:sz w:val="20"/>
                <w:szCs w:val="20"/>
              </w:rPr>
              <w:t xml:space="preserve"> strong but not</w:t>
            </w:r>
            <w:r>
              <w:rPr>
                <w:sz w:val="20"/>
                <w:szCs w:val="20"/>
              </w:rPr>
              <w:t xml:space="preserve"> comprehensive clinical knowledge, particularly to age related health issues</w:t>
            </w:r>
          </w:p>
          <w:p w14:paraId="76939A9D" w14:textId="77777777" w:rsidR="00CD11A6" w:rsidRDefault="00D5546D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using computerised clinical documentation systems</w:t>
            </w:r>
          </w:p>
          <w:p w14:paraId="179F71D3" w14:textId="77777777" w:rsidR="00CC5E60" w:rsidRPr="00CD11A6" w:rsidRDefault="00CC5E60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promotion of a culture of continuous improvement</w:t>
            </w:r>
          </w:p>
          <w:p w14:paraId="5ADE57A2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Broad experience in </w:t>
            </w:r>
            <w:r w:rsidR="00A606A6">
              <w:rPr>
                <w:sz w:val="20"/>
                <w:szCs w:val="20"/>
              </w:rPr>
              <w:t>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123798">
              <w:rPr>
                <w:sz w:val="20"/>
                <w:szCs w:val="20"/>
              </w:rPr>
              <w:t>interaction</w:t>
            </w:r>
            <w:r w:rsidR="00F928D3">
              <w:rPr>
                <w:sz w:val="20"/>
                <w:szCs w:val="20"/>
              </w:rPr>
              <w:t xml:space="preserve"> and staff </w:t>
            </w:r>
            <w:r w:rsidR="00D5546D">
              <w:rPr>
                <w:sz w:val="20"/>
                <w:szCs w:val="20"/>
              </w:rPr>
              <w:t>teamwork to achieve desired outcomes</w:t>
            </w:r>
          </w:p>
          <w:p w14:paraId="1ED4D398" w14:textId="77777777" w:rsidR="00CD11A6" w:rsidRDefault="00D5546D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administration and application</w:t>
            </w:r>
          </w:p>
          <w:p w14:paraId="65C63DB7" w14:textId="77777777" w:rsidR="0026082E" w:rsidRPr="00CD11A6" w:rsidRDefault="00D5546D" w:rsidP="002469EA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Supportive patient/resident interaction in ag</w:t>
            </w:r>
            <w:r w:rsidR="00E17549">
              <w:rPr>
                <w:rFonts w:cstheme="minorHAnsi"/>
                <w:sz w:val="20"/>
                <w:szCs w:val="20"/>
              </w:rPr>
              <w:t>eing facilities</w:t>
            </w:r>
          </w:p>
        </w:tc>
      </w:tr>
      <w:tr w:rsidR="0026082E" w:rsidRPr="00593750" w14:paraId="695A4DD7" w14:textId="77777777" w:rsidTr="00CE7B6B">
        <w:trPr>
          <w:cantSplit/>
          <w:trHeight w:val="1017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3DF21EBD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C921FEA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Understanding of how </w:t>
            </w:r>
            <w:r w:rsidR="00500934">
              <w:rPr>
                <w:sz w:val="20"/>
                <w:szCs w:val="20"/>
              </w:rPr>
              <w:t xml:space="preserve">employee interaction impacts </w:t>
            </w:r>
            <w:r w:rsidRPr="00CD11A6">
              <w:rPr>
                <w:sz w:val="20"/>
                <w:szCs w:val="20"/>
              </w:rPr>
              <w:t>with aged care issues</w:t>
            </w:r>
          </w:p>
          <w:p w14:paraId="5CDF1E7C" w14:textId="77777777" w:rsidR="00500934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500934">
              <w:rPr>
                <w:sz w:val="20"/>
                <w:szCs w:val="20"/>
              </w:rPr>
              <w:t xml:space="preserve">Knowledge of current </w:t>
            </w:r>
            <w:r w:rsidR="00E17549">
              <w:rPr>
                <w:sz w:val="20"/>
                <w:szCs w:val="20"/>
              </w:rPr>
              <w:t>nursing practices in line with current training</w:t>
            </w:r>
            <w:r w:rsidR="00500934" w:rsidRPr="00500934">
              <w:rPr>
                <w:sz w:val="20"/>
                <w:szCs w:val="20"/>
              </w:rPr>
              <w:t xml:space="preserve"> </w:t>
            </w:r>
          </w:p>
          <w:p w14:paraId="76A16A03" w14:textId="77777777" w:rsidR="00CD11A6" w:rsidRPr="00500934" w:rsidRDefault="007315B5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 Principles</w:t>
            </w:r>
          </w:p>
          <w:p w14:paraId="296CF5AB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Current knowledge of aged care sector reforms</w:t>
            </w:r>
          </w:p>
          <w:p w14:paraId="54196F45" w14:textId="77777777" w:rsidR="00CD11A6" w:rsidRPr="00CD11A6" w:rsidRDefault="007315B5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Health and Ageing Accreditation Standards</w:t>
            </w:r>
            <w:r w:rsidR="00CD11A6" w:rsidRPr="00CD11A6">
              <w:rPr>
                <w:sz w:val="20"/>
                <w:szCs w:val="20"/>
              </w:rPr>
              <w:t>.</w:t>
            </w:r>
          </w:p>
          <w:p w14:paraId="6ECE9536" w14:textId="77777777" w:rsidR="00CD11A6" w:rsidRDefault="007315B5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</w:t>
            </w:r>
            <w:r w:rsidR="00E17549">
              <w:rPr>
                <w:sz w:val="20"/>
                <w:szCs w:val="20"/>
              </w:rPr>
              <w:t xml:space="preserve">and Manual Handling </w:t>
            </w:r>
            <w:r>
              <w:rPr>
                <w:sz w:val="20"/>
                <w:szCs w:val="20"/>
              </w:rPr>
              <w:t>Principles</w:t>
            </w:r>
          </w:p>
          <w:p w14:paraId="063F2F15" w14:textId="77777777" w:rsidR="00015CC8" w:rsidRPr="00CD11A6" w:rsidRDefault="00015CC8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performance management principles and guidelines</w:t>
            </w:r>
          </w:p>
          <w:p w14:paraId="40FDF2D9" w14:textId="77777777" w:rsidR="0026082E" w:rsidRPr="00CD11A6" w:rsidRDefault="0026082E" w:rsidP="00593750">
            <w:pPr>
              <w:ind w:left="360" w:right="15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18A70012" w14:textId="77777777" w:rsidTr="00CE7B6B">
        <w:trPr>
          <w:cantSplit/>
          <w:trHeight w:val="834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869173C" w14:textId="77777777" w:rsidR="0026082E" w:rsidRPr="00593750" w:rsidRDefault="0026082E" w:rsidP="001C6A97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Skills and Attributes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2AD2261" w14:textId="77777777" w:rsidR="00BC3D2F" w:rsidRDefault="00BC3D2F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registration </w:t>
            </w:r>
            <w:r w:rsidR="005A1FA5">
              <w:rPr>
                <w:sz w:val="20"/>
                <w:szCs w:val="20"/>
              </w:rPr>
              <w:t xml:space="preserve">as an Enrolled Nurse </w:t>
            </w:r>
            <w:r>
              <w:rPr>
                <w:sz w:val="20"/>
                <w:szCs w:val="20"/>
              </w:rPr>
              <w:t>with AHPRA (Australian Health Practitioner Regulation Agency)</w:t>
            </w:r>
          </w:p>
          <w:p w14:paraId="470CA4F3" w14:textId="77777777" w:rsidR="00BC3D2F" w:rsidRDefault="00BC3D2F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ageing process</w:t>
            </w:r>
            <w:r w:rsidR="005A1FA5">
              <w:rPr>
                <w:sz w:val="20"/>
                <w:szCs w:val="20"/>
              </w:rPr>
              <w:t xml:space="preserve"> and of caring for aged clients</w:t>
            </w:r>
          </w:p>
          <w:p w14:paraId="4B20E395" w14:textId="77777777" w:rsidR="004D4F79" w:rsidRDefault="004D4F79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A1FA5">
              <w:rPr>
                <w:sz w:val="20"/>
                <w:szCs w:val="20"/>
              </w:rPr>
              <w:t xml:space="preserve">n understanding and basic </w:t>
            </w:r>
            <w:r>
              <w:rPr>
                <w:sz w:val="20"/>
                <w:szCs w:val="20"/>
              </w:rPr>
              <w:t>knowledge, particularly to age related health issues</w:t>
            </w:r>
          </w:p>
          <w:p w14:paraId="47C7ABC9" w14:textId="77777777" w:rsidR="006B3A12" w:rsidRDefault="006B3A12" w:rsidP="006B3A12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and commitment to continuous quality improvement</w:t>
            </w:r>
          </w:p>
          <w:p w14:paraId="521623FF" w14:textId="77777777" w:rsidR="00A15846" w:rsidRPr="006B3A12" w:rsidRDefault="00A15846" w:rsidP="006B3A12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and commitment to Occupational Health and Safety legislation affecting daily practice duties</w:t>
            </w:r>
          </w:p>
          <w:p w14:paraId="366FCFA5" w14:textId="77777777" w:rsidR="00D846B4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communicate effectively with </w:t>
            </w:r>
            <w:r w:rsidR="00A15846">
              <w:rPr>
                <w:sz w:val="20"/>
                <w:szCs w:val="20"/>
              </w:rPr>
              <w:t xml:space="preserve">clients, family and other members of the health team </w:t>
            </w:r>
            <w:r w:rsidRPr="00CD11A6">
              <w:rPr>
                <w:sz w:val="20"/>
                <w:szCs w:val="20"/>
              </w:rPr>
              <w:t xml:space="preserve"> </w:t>
            </w:r>
          </w:p>
          <w:p w14:paraId="7A7DB6E4" w14:textId="77777777" w:rsidR="00CD11A6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 w:rsidR="00A15846">
              <w:rPr>
                <w:sz w:val="20"/>
                <w:szCs w:val="20"/>
              </w:rPr>
              <w:t>work as a team leader in the absence of Registered Nurse staff</w:t>
            </w:r>
          </w:p>
          <w:p w14:paraId="43DE53BF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a member of a multi-disciplinary team</w:t>
            </w:r>
          </w:p>
          <w:p w14:paraId="433F973C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maintain professional and appropriate relationships with residents and/or families/representatives</w:t>
            </w:r>
          </w:p>
          <w:p w14:paraId="7999B242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commitment to respecting the values, customs, preferences and spiritual beliefs of residents and their families/representatives</w:t>
            </w:r>
          </w:p>
          <w:p w14:paraId="18588989" w14:textId="77777777" w:rsidR="00A15846" w:rsidRPr="00A15846" w:rsidRDefault="00000D8E" w:rsidP="00A1584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Demonstrated </w:t>
            </w:r>
            <w:r w:rsidR="00A15846">
              <w:rPr>
                <w:sz w:val="20"/>
                <w:szCs w:val="20"/>
              </w:rPr>
              <w:t>clinical</w:t>
            </w:r>
            <w:r>
              <w:rPr>
                <w:sz w:val="20"/>
                <w:szCs w:val="20"/>
              </w:rPr>
              <w:t xml:space="preserve"> skills</w:t>
            </w:r>
          </w:p>
          <w:p w14:paraId="17A1147B" w14:textId="77777777" w:rsidR="00000D8E" w:rsidRDefault="00000D8E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use of initiative</w:t>
            </w:r>
            <w:r w:rsidR="00694D7B">
              <w:rPr>
                <w:sz w:val="20"/>
                <w:szCs w:val="20"/>
              </w:rPr>
              <w:t xml:space="preserve"> and manage time effectively</w:t>
            </w:r>
          </w:p>
          <w:p w14:paraId="199B5FA5" w14:textId="77777777" w:rsidR="00000D8E" w:rsidRDefault="00000D8E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seek out and effectively utilize new knowledge as it relates to nursing practices</w:t>
            </w:r>
          </w:p>
          <w:p w14:paraId="78B0EFD1" w14:textId="77777777" w:rsidR="00A81E10" w:rsidRPr="00CD11A6" w:rsidRDefault="00A81E10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ongoing professional development</w:t>
            </w:r>
          </w:p>
          <w:p w14:paraId="36ED0B94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Possess flexibility, adaptability and versatility of approach to handle changing work requirements and the ability to support others in an environment of change</w:t>
            </w:r>
          </w:p>
          <w:p w14:paraId="3EE200E9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Ability to demonstrate empathy with the needs of stakeholder groups</w:t>
            </w:r>
          </w:p>
          <w:p w14:paraId="7F49C3CE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</w:t>
            </w:r>
            <w:r w:rsidR="00B548D5">
              <w:rPr>
                <w:sz w:val="20"/>
                <w:szCs w:val="20"/>
              </w:rPr>
              <w:t>liaise with 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B548D5">
              <w:rPr>
                <w:sz w:val="20"/>
                <w:szCs w:val="20"/>
              </w:rPr>
              <w:t>and all other stake holders</w:t>
            </w:r>
            <w:r w:rsidRPr="00CD11A6">
              <w:rPr>
                <w:sz w:val="20"/>
                <w:szCs w:val="20"/>
              </w:rPr>
              <w:t xml:space="preserve"> on a day to day basis</w:t>
            </w:r>
          </w:p>
          <w:p w14:paraId="4BE9BBE2" w14:textId="77777777" w:rsidR="00CD11A6" w:rsidRPr="00CD11A6" w:rsidRDefault="00CD11A6" w:rsidP="00CD11A6">
            <w:pPr>
              <w:numPr>
                <w:ilvl w:val="0"/>
                <w:numId w:val="8"/>
              </w:numPr>
              <w:spacing w:after="40"/>
              <w:rPr>
                <w:sz w:val="20"/>
              </w:rPr>
            </w:pPr>
            <w:r w:rsidRPr="00CD11A6">
              <w:rPr>
                <w:sz w:val="20"/>
              </w:rPr>
              <w:t>Ability to work and negotiate as part of and as a team member.</w:t>
            </w:r>
          </w:p>
          <w:p w14:paraId="60D9A54A" w14:textId="77777777" w:rsidR="0026082E" w:rsidRPr="00FA1362" w:rsidRDefault="00AB03CF" w:rsidP="00FA1362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>
              <w:rPr>
                <w:sz w:val="20"/>
              </w:rPr>
              <w:t>Mentor and support new employees</w:t>
            </w:r>
          </w:p>
        </w:tc>
      </w:tr>
      <w:tr w:rsidR="0026082E" w:rsidRPr="00593750" w14:paraId="28BB5DE5" w14:textId="77777777" w:rsidTr="00CE7B6B">
        <w:trPr>
          <w:cantSplit/>
          <w:trHeight w:val="330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9BA7380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Relevant Legislation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0EDE1D8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Equal Opportunity Act 1984</w:t>
            </w:r>
          </w:p>
          <w:p w14:paraId="20FE0E56" w14:textId="77777777" w:rsidR="00CD11A6" w:rsidRDefault="0026082E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Work Health &amp; Safety Act 2012</w:t>
            </w:r>
          </w:p>
          <w:p w14:paraId="4D78BE2D" w14:textId="77777777" w:rsidR="0065577B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Act 1999</w:t>
            </w:r>
          </w:p>
          <w:p w14:paraId="2C24A262" w14:textId="77777777" w:rsidR="0065577B" w:rsidRPr="00CB2281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(LLLB) Act 2013</w:t>
            </w:r>
          </w:p>
          <w:p w14:paraId="147661DF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Other relevant legislation pertaining to the role</w:t>
            </w:r>
          </w:p>
          <w:p w14:paraId="1C955A71" w14:textId="77777777" w:rsidR="0026082E" w:rsidRPr="0026082E" w:rsidRDefault="0026082E" w:rsidP="00593750">
            <w:pPr>
              <w:ind w:left="682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047F1539" w14:textId="77777777" w:rsidTr="0065577B">
        <w:trPr>
          <w:cantSplit/>
          <w:trHeight w:val="3367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370DE08D" w14:textId="77777777" w:rsidR="0026082E" w:rsidRPr="00593750" w:rsidRDefault="0026082E" w:rsidP="00C27CE6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Specific Job requirements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A6C4A34" w14:textId="77777777" w:rsidR="0065577B" w:rsidRDefault="00FA1362" w:rsidP="004C51BF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accordance with the philosophy, business practices and policies of Aminya, perform the following duties:</w:t>
            </w:r>
          </w:p>
          <w:p w14:paraId="17678396" w14:textId="77777777" w:rsidR="00FA1362" w:rsidRPr="004C51BF" w:rsidRDefault="00FA1362" w:rsidP="004C51BF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satisfactory knowledge base for safe practice by:</w:t>
            </w:r>
          </w:p>
          <w:p w14:paraId="792FCB09" w14:textId="77777777" w:rsidR="00731CC0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out a</w:t>
            </w:r>
            <w:r w:rsidR="00FA1362">
              <w:rPr>
                <w:sz w:val="20"/>
                <w:szCs w:val="20"/>
              </w:rPr>
              <w:t>ll work according to Aminya’s guidelines and the residents care plans</w:t>
            </w:r>
          </w:p>
          <w:p w14:paraId="398D054A" w14:textId="77777777" w:rsidR="00FA1362" w:rsidRDefault="00FA1362" w:rsidP="00FA1362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contemporary professional knowledge and skills through participation in external and internal education and development activities</w:t>
            </w:r>
          </w:p>
          <w:p w14:paraId="7210CCCF" w14:textId="77777777" w:rsidR="00BC275F" w:rsidRDefault="00BC275F" w:rsidP="00BC275F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 in accordance with legislation and common law affecting nursing practice by:</w:t>
            </w:r>
          </w:p>
          <w:p w14:paraId="098E14BE" w14:textId="77777777" w:rsidR="001E2AAA" w:rsidRDefault="00BC275F" w:rsidP="00BC27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Practicing within the limitations of the enrolled nurse role</w:t>
            </w:r>
          </w:p>
          <w:p w14:paraId="2ABE7419" w14:textId="77777777" w:rsidR="00BC275F" w:rsidRDefault="00BC275F" w:rsidP="00BC27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to a Registered Nurse any nursing care which is outside the scope of practice of an enrolled nurse</w:t>
            </w:r>
          </w:p>
          <w:p w14:paraId="6778A9F6" w14:textId="77777777" w:rsidR="00BC275F" w:rsidRDefault="00BC275F" w:rsidP="00BC27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Clarifying unclear instructions</w:t>
            </w:r>
          </w:p>
          <w:p w14:paraId="1B1D3C21" w14:textId="77777777" w:rsidR="00BC275F" w:rsidRDefault="00BC275F" w:rsidP="00BC27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 the duty of care responsibilities attached to your practice</w:t>
            </w:r>
          </w:p>
          <w:p w14:paraId="4B9877D5" w14:textId="77777777" w:rsidR="00BC275F" w:rsidRPr="00BC275F" w:rsidRDefault="00BC275F" w:rsidP="00BC27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responsibility for own actions</w:t>
            </w:r>
          </w:p>
          <w:p w14:paraId="333A08E9" w14:textId="77777777" w:rsidR="00B37438" w:rsidRPr="00B37438" w:rsidRDefault="00BC275F" w:rsidP="00B37438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the rights of residents by</w:t>
            </w:r>
            <w:r w:rsidR="00B37438">
              <w:rPr>
                <w:sz w:val="20"/>
                <w:szCs w:val="20"/>
              </w:rPr>
              <w:t>:</w:t>
            </w:r>
          </w:p>
          <w:p w14:paraId="5474A703" w14:textId="77777777" w:rsidR="00E16F9E" w:rsidRDefault="00BC275F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confidentiality</w:t>
            </w:r>
          </w:p>
          <w:p w14:paraId="1A380C2A" w14:textId="77777777" w:rsidR="00E16F9E" w:rsidRDefault="00BC275F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Respecting the values, customs and spiritual beliefs of residents</w:t>
            </w:r>
          </w:p>
          <w:p w14:paraId="73375436" w14:textId="77777777" w:rsidR="00BC275F" w:rsidRDefault="00BC275F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in such a way that the rights of residents are protected</w:t>
            </w:r>
          </w:p>
          <w:p w14:paraId="2CA69B39" w14:textId="77777777" w:rsidR="008E05A6" w:rsidRDefault="009867F2" w:rsidP="008E05A6">
            <w:pPr>
              <w:ind w:left="3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Contributes to nursing assessments of residents</w:t>
            </w:r>
            <w:r w:rsidR="008E05A6">
              <w:rPr>
                <w:rFonts w:cstheme="minorHAnsi"/>
                <w:sz w:val="20"/>
                <w:szCs w:val="20"/>
              </w:rPr>
              <w:t xml:space="preserve"> by:</w:t>
            </w:r>
          </w:p>
          <w:p w14:paraId="0E9D9A13" w14:textId="77777777" w:rsidR="009867F2" w:rsidRDefault="009867F2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Collecting and reporting data to the Registered Nurse in accordance with the care plan</w:t>
            </w:r>
          </w:p>
          <w:p w14:paraId="4F2C7F80" w14:textId="77777777" w:rsidR="008E05A6" w:rsidRDefault="009867F2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and reporting changes in residents physical and cognitive function and health</w:t>
            </w:r>
          </w:p>
          <w:p w14:paraId="79243EF8" w14:textId="77777777" w:rsidR="008E05A6" w:rsidRDefault="009867F2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Contributing information to the development of a care plan</w:t>
            </w:r>
          </w:p>
          <w:p w14:paraId="7E909864" w14:textId="77777777" w:rsidR="00A071B4" w:rsidRDefault="009867F2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Maintaining accurate and legal documentation of care strategies and outcomes</w:t>
            </w:r>
          </w:p>
          <w:p w14:paraId="0C332E8A" w14:textId="77777777" w:rsidR="0002661E" w:rsidRDefault="002A620B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Implements those aspects of the care plan delegated by the Registered Nurse</w:t>
            </w:r>
            <w:r w:rsidR="0002661E">
              <w:rPr>
                <w:rFonts w:cstheme="minorHAnsi"/>
                <w:sz w:val="20"/>
                <w:szCs w:val="20"/>
              </w:rPr>
              <w:t xml:space="preserve"> by:</w:t>
            </w:r>
          </w:p>
          <w:p w14:paraId="228D2180" w14:textId="77777777" w:rsidR="0002661E" w:rsidRDefault="002A620B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the purpose of an individual care plan</w:t>
            </w:r>
          </w:p>
          <w:p w14:paraId="1B4AFC46" w14:textId="77777777" w:rsidR="0002661E" w:rsidRDefault="00CA2838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Organising delegated workload in conjunction with the Registered Nurse</w:t>
            </w:r>
          </w:p>
          <w:p w14:paraId="26BCDBED" w14:textId="77777777" w:rsidR="0002661E" w:rsidRDefault="00CA2838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Implementing delegated nursing activities which assist in meeting the needs of the resident</w:t>
            </w:r>
          </w:p>
          <w:p w14:paraId="364DEC6A" w14:textId="77777777" w:rsidR="00CA2838" w:rsidRDefault="00CA2838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Assisting in maintaining a safe working environment for all employees and residents</w:t>
            </w:r>
          </w:p>
          <w:p w14:paraId="667365C3" w14:textId="77777777" w:rsidR="00CA2838" w:rsidRDefault="00CA2838" w:rsidP="00CA2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Assists in the evaluation of progress toward expected outcomes by:</w:t>
            </w:r>
          </w:p>
          <w:p w14:paraId="7413E013" w14:textId="77777777" w:rsidR="00CA2838" w:rsidRDefault="00CA2838" w:rsidP="00CA283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Contributing information relevant to evaluating the progress of residents toward planned outcomes</w:t>
            </w:r>
          </w:p>
          <w:p w14:paraId="39882ADE" w14:textId="77777777" w:rsidR="00CA2838" w:rsidRDefault="00CA2838" w:rsidP="00CA283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Contributing information relevant to assessing the effectiveness of nursing care in achieving </w:t>
            </w:r>
            <w:r w:rsidR="00C962F3">
              <w:rPr>
                <w:rFonts w:cstheme="minorHAnsi"/>
                <w:sz w:val="20"/>
                <w:szCs w:val="20"/>
              </w:rPr>
              <w:t>planned outcomes</w:t>
            </w:r>
          </w:p>
          <w:p w14:paraId="37E16B21" w14:textId="77777777" w:rsidR="00C962F3" w:rsidRDefault="00C962F3" w:rsidP="00C962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Demonstrates effective communication and interpersonal skills by:</w:t>
            </w:r>
          </w:p>
          <w:p w14:paraId="5DD79AB7" w14:textId="77777777" w:rsidR="00C962F3" w:rsidRDefault="00C962F3" w:rsidP="00C962F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Liaising with other members of the health team in the provision of care</w:t>
            </w:r>
          </w:p>
          <w:p w14:paraId="3357547E" w14:textId="77777777" w:rsidR="00C962F3" w:rsidRDefault="00C962F3" w:rsidP="00C962F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Aminya’s quality management system and commitment to processes of continuous improvement activities, such as auditing, surveys and needs analysis</w:t>
            </w:r>
          </w:p>
          <w:p w14:paraId="385142D6" w14:textId="77777777" w:rsidR="00C962F3" w:rsidRDefault="00C962F3" w:rsidP="00C962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</w:t>
            </w:r>
            <w:r w:rsidR="0043123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ts in meeting </w:t>
            </w:r>
            <w:r w:rsidR="0043123B">
              <w:rPr>
                <w:rFonts w:cstheme="minorHAnsi"/>
                <w:sz w:val="20"/>
                <w:szCs w:val="20"/>
              </w:rPr>
              <w:t>the need for support, security and self</w:t>
            </w:r>
            <w:r w:rsidR="00FB5F4D">
              <w:rPr>
                <w:rFonts w:cstheme="minorHAnsi"/>
                <w:sz w:val="20"/>
                <w:szCs w:val="20"/>
              </w:rPr>
              <w:t>-</w:t>
            </w:r>
            <w:r w:rsidR="0043123B">
              <w:rPr>
                <w:rFonts w:cstheme="minorHAnsi"/>
                <w:sz w:val="20"/>
                <w:szCs w:val="20"/>
              </w:rPr>
              <w:t>esteem of residents</w:t>
            </w:r>
          </w:p>
          <w:p w14:paraId="207DD626" w14:textId="77777777" w:rsidR="0043123B" w:rsidRDefault="0043123B" w:rsidP="00C962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Assists in the ongoing maintenance of a safe work place through involvement in the implementation of safe systems of work in accordance with Aminya’s </w:t>
            </w:r>
            <w:r w:rsidR="003460CC">
              <w:rPr>
                <w:rFonts w:cstheme="minorHAnsi"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Health and Safety policies and procedures by:</w:t>
            </w:r>
          </w:p>
          <w:p w14:paraId="168D3172" w14:textId="77777777" w:rsidR="0043123B" w:rsidRDefault="0043123B" w:rsidP="0043123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in Mandatory Health and Safety training sessions</w:t>
            </w:r>
          </w:p>
          <w:p w14:paraId="41AE9A63" w14:textId="77777777" w:rsidR="0043123B" w:rsidRPr="0043123B" w:rsidRDefault="0043123B" w:rsidP="0043123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reporting of hazards in the workplace</w:t>
            </w:r>
          </w:p>
          <w:p w14:paraId="626595BD" w14:textId="77777777" w:rsidR="0002661E" w:rsidRDefault="0002661E" w:rsidP="004312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duties as directed by the </w:t>
            </w:r>
            <w:r w:rsidR="00CA2838">
              <w:rPr>
                <w:rFonts w:cstheme="minorHAnsi"/>
                <w:sz w:val="20"/>
                <w:szCs w:val="20"/>
              </w:rPr>
              <w:t xml:space="preserve">Registered Nurse and Clinical Nurse that are </w:t>
            </w:r>
            <w:r>
              <w:rPr>
                <w:rFonts w:cstheme="minorHAnsi"/>
                <w:sz w:val="20"/>
                <w:szCs w:val="20"/>
              </w:rPr>
              <w:t>commensurate with classification</w:t>
            </w:r>
            <w:r w:rsidR="00CA283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training</w:t>
            </w:r>
            <w:r w:rsidR="00CA2838">
              <w:rPr>
                <w:rFonts w:cstheme="minorHAnsi"/>
                <w:sz w:val="20"/>
                <w:szCs w:val="20"/>
              </w:rPr>
              <w:t xml:space="preserve"> and experience</w:t>
            </w:r>
          </w:p>
          <w:p w14:paraId="6E2E6254" w14:textId="77777777" w:rsidR="0002661E" w:rsidRP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795944AE" w14:textId="77777777" w:rsidTr="00CE7B6B">
        <w:trPr>
          <w:cantSplit/>
          <w:trHeight w:val="330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A5DE3FB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Authorisations and Delegations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EFFD779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Authorisations and delegations are in accordance with the appropriate Acts,</w:t>
            </w:r>
          </w:p>
          <w:p w14:paraId="57F9F4C7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Regulations,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 Guidelines and the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's Register of Authorisations and Delegations.</w:t>
            </w:r>
          </w:p>
          <w:p w14:paraId="2B305C7F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0ACD187" w14:textId="77777777" w:rsidR="00641341" w:rsidRPr="00593750" w:rsidRDefault="00641341" w:rsidP="00641341">
      <w:pPr>
        <w:rPr>
          <w:rFonts w:cstheme="minorHAnsi"/>
          <w:sz w:val="20"/>
          <w:szCs w:val="20"/>
        </w:rPr>
      </w:pPr>
    </w:p>
    <w:p w14:paraId="4249B186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202C3381" w14:textId="77777777" w:rsidR="003B0B70" w:rsidRDefault="003B0B7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>KE</w:t>
      </w:r>
      <w:r w:rsidR="000502A0">
        <w:rPr>
          <w:rFonts w:cstheme="minorHAnsi"/>
          <w:b/>
          <w:color w:val="365F91" w:themeColor="accent1" w:themeShade="BF"/>
          <w:sz w:val="28"/>
          <w:szCs w:val="28"/>
        </w:rPr>
        <w:t>Y RESULT AREAS</w:t>
      </w: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</w:p>
    <w:p w14:paraId="5AC09CD3" w14:textId="77777777" w:rsidR="00FF72C5" w:rsidRPr="00FF72C5" w:rsidRDefault="00FF72C5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CE7B6B" w:rsidRPr="00FB2649" w14:paraId="164964CD" w14:textId="77777777" w:rsidTr="000E7DD5">
        <w:trPr>
          <w:cantSplit/>
          <w:trHeight w:val="371"/>
        </w:trPr>
        <w:tc>
          <w:tcPr>
            <w:tcW w:w="3828" w:type="dxa"/>
            <w:vMerge w:val="restart"/>
            <w:shd w:val="clear" w:color="auto" w:fill="336699"/>
            <w:vAlign w:val="center"/>
          </w:tcPr>
          <w:p w14:paraId="2A4D3700" w14:textId="77777777" w:rsidR="00CE7B6B" w:rsidRPr="00FB2649" w:rsidRDefault="00CE7B6B" w:rsidP="007C1494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6662" w:type="dxa"/>
            <w:vMerge w:val="restart"/>
            <w:shd w:val="clear" w:color="auto" w:fill="336699"/>
            <w:vAlign w:val="center"/>
          </w:tcPr>
          <w:p w14:paraId="6F43C780" w14:textId="77777777" w:rsidR="00CE7B6B" w:rsidRPr="00FB2649" w:rsidRDefault="00CE7B6B" w:rsidP="007C14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CE7B6B" w:rsidRPr="00593750" w14:paraId="53E1D38B" w14:textId="77777777" w:rsidTr="000E7DD5">
        <w:trPr>
          <w:cantSplit/>
          <w:trHeight w:val="245"/>
        </w:trPr>
        <w:tc>
          <w:tcPr>
            <w:tcW w:w="3828" w:type="dxa"/>
            <w:vMerge/>
            <w:shd w:val="clear" w:color="auto" w:fill="336699"/>
          </w:tcPr>
          <w:p w14:paraId="18ACC426" w14:textId="77777777" w:rsidR="00CE7B6B" w:rsidRPr="00593750" w:rsidRDefault="00CE7B6B" w:rsidP="00FF72C5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336699"/>
          </w:tcPr>
          <w:p w14:paraId="36ED97B5" w14:textId="77777777" w:rsidR="00CE7B6B" w:rsidRPr="00593750" w:rsidRDefault="00CE7B6B" w:rsidP="00B251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1A6" w:rsidRPr="00593750" w14:paraId="7F4B7CC5" w14:textId="77777777" w:rsidTr="000E7DD5">
        <w:trPr>
          <w:cantSplit/>
          <w:trHeight w:val="707"/>
        </w:trPr>
        <w:tc>
          <w:tcPr>
            <w:tcW w:w="3828" w:type="dxa"/>
            <w:shd w:val="clear" w:color="auto" w:fill="DBE5F1" w:themeFill="accent1" w:themeFillTint="33"/>
          </w:tcPr>
          <w:p w14:paraId="197D5EB4" w14:textId="77777777" w:rsidR="00CD11A6" w:rsidRPr="00496DBA" w:rsidRDefault="00CD11A6" w:rsidP="00ED1F7F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Support </w:t>
            </w:r>
            <w:r w:rsidR="00E17549">
              <w:rPr>
                <w:sz w:val="20"/>
                <w:szCs w:val="20"/>
              </w:rPr>
              <w:t>Aminya</w:t>
            </w:r>
            <w:r w:rsidRPr="00496DBA">
              <w:rPr>
                <w:sz w:val="20"/>
                <w:szCs w:val="20"/>
              </w:rPr>
              <w:t xml:space="preserve"> to </w:t>
            </w:r>
            <w:r w:rsidR="00E17549">
              <w:rPr>
                <w:sz w:val="20"/>
                <w:szCs w:val="20"/>
              </w:rPr>
              <w:t xml:space="preserve">provide and achieve </w:t>
            </w:r>
            <w:r w:rsidR="00ED1F7F">
              <w:rPr>
                <w:sz w:val="20"/>
                <w:szCs w:val="20"/>
              </w:rPr>
              <w:t xml:space="preserve">superior </w:t>
            </w:r>
            <w:r w:rsidR="00CB2281" w:rsidRPr="00496DBA">
              <w:rPr>
                <w:sz w:val="20"/>
                <w:szCs w:val="20"/>
              </w:rPr>
              <w:t xml:space="preserve">aged care </w:t>
            </w:r>
            <w:r w:rsidR="00ED1F7F">
              <w:rPr>
                <w:sz w:val="20"/>
                <w:szCs w:val="20"/>
              </w:rPr>
              <w:t>service levels</w:t>
            </w:r>
            <w:r w:rsidRPr="00496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9A6E5BF" w14:textId="77777777" w:rsidR="00496DBA" w:rsidRDefault="00C221B2" w:rsidP="00496DBA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and</w:t>
            </w:r>
            <w:r w:rsidR="00CD11A6" w:rsidRPr="00CD11A6">
              <w:rPr>
                <w:sz w:val="20"/>
                <w:szCs w:val="20"/>
              </w:rPr>
              <w:t xml:space="preserve"> deliver </w:t>
            </w:r>
            <w:r w:rsidR="00E17549">
              <w:rPr>
                <w:sz w:val="20"/>
                <w:szCs w:val="20"/>
              </w:rPr>
              <w:t>best practice nursing care in line with current standards</w:t>
            </w:r>
          </w:p>
          <w:p w14:paraId="12C8BFBC" w14:textId="77777777" w:rsidR="00302081" w:rsidRDefault="00302081" w:rsidP="00E56F6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participate in </w:t>
            </w:r>
            <w:r w:rsidR="00E17549">
              <w:rPr>
                <w:sz w:val="20"/>
                <w:szCs w:val="20"/>
              </w:rPr>
              <w:t>achieving nursing care standards to ensure ongoing certification</w:t>
            </w:r>
            <w:r w:rsidR="0050481B">
              <w:rPr>
                <w:sz w:val="20"/>
                <w:szCs w:val="20"/>
              </w:rPr>
              <w:t>/accreditation</w:t>
            </w:r>
          </w:p>
          <w:p w14:paraId="3A703FC7" w14:textId="77777777" w:rsidR="002A7444" w:rsidRPr="00E56F68" w:rsidRDefault="002C7451" w:rsidP="0030208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professional knowledge and skills through participation in external and internal education and development activities and training</w:t>
            </w:r>
          </w:p>
        </w:tc>
      </w:tr>
    </w:tbl>
    <w:p w14:paraId="0DFE9CB6" w14:textId="77777777" w:rsidR="00326532" w:rsidRDefault="00326532" w:rsidP="00091EB8">
      <w:pPr>
        <w:rPr>
          <w:rFonts w:cstheme="minorHAnsi"/>
          <w:sz w:val="20"/>
          <w:szCs w:val="20"/>
        </w:rPr>
      </w:pPr>
    </w:p>
    <w:p w14:paraId="7BCEB16E" w14:textId="77777777" w:rsidR="00326532" w:rsidRPr="00593750" w:rsidRDefault="00326532" w:rsidP="00091EB8">
      <w:pPr>
        <w:rPr>
          <w:rFonts w:cstheme="minorHAnsi"/>
          <w:sz w:val="20"/>
          <w:szCs w:val="20"/>
        </w:rPr>
      </w:pPr>
    </w:p>
    <w:p w14:paraId="4379B575" w14:textId="77777777" w:rsidR="00FC2E8E" w:rsidRDefault="001C6A97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593750">
        <w:rPr>
          <w:rFonts w:cstheme="minorHAnsi"/>
          <w:sz w:val="20"/>
          <w:szCs w:val="20"/>
        </w:rPr>
        <w:br w:type="page"/>
      </w:r>
      <w:r w:rsidR="007C1494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ORGANISATIONAL</w:t>
      </w:r>
      <w:r w:rsidR="00FC2E8E"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RESPONSIBILITIES</w:t>
      </w:r>
    </w:p>
    <w:p w14:paraId="2F3323F2" w14:textId="77777777" w:rsidR="00FF72C5" w:rsidRPr="00FF72C5" w:rsidRDefault="00FF72C5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939"/>
      </w:tblGrid>
      <w:tr w:rsidR="007C1494" w:rsidRPr="00FB2649" w14:paraId="11B42DF2" w14:textId="77777777" w:rsidTr="007C1494">
        <w:trPr>
          <w:cantSplit/>
          <w:trHeight w:val="371"/>
        </w:trPr>
        <w:tc>
          <w:tcPr>
            <w:tcW w:w="2552" w:type="dxa"/>
            <w:gridSpan w:val="2"/>
            <w:vMerge w:val="restart"/>
            <w:shd w:val="clear" w:color="auto" w:fill="336699"/>
            <w:vAlign w:val="center"/>
          </w:tcPr>
          <w:p w14:paraId="57F6B79B" w14:textId="77777777" w:rsidR="007C1494" w:rsidRPr="00FB2649" w:rsidRDefault="007C1494" w:rsidP="000C79DD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7939" w:type="dxa"/>
            <w:vMerge w:val="restart"/>
            <w:shd w:val="clear" w:color="auto" w:fill="336699"/>
            <w:vAlign w:val="center"/>
          </w:tcPr>
          <w:p w14:paraId="2EEE9418" w14:textId="77777777" w:rsidR="007C1494" w:rsidRPr="00FB2649" w:rsidRDefault="007C1494" w:rsidP="000C79D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7C1494" w:rsidRPr="00593750" w14:paraId="29E6FD14" w14:textId="77777777" w:rsidTr="007C1494">
        <w:trPr>
          <w:cantSplit/>
          <w:trHeight w:val="245"/>
        </w:trPr>
        <w:tc>
          <w:tcPr>
            <w:tcW w:w="2552" w:type="dxa"/>
            <w:gridSpan w:val="2"/>
            <w:vMerge/>
            <w:shd w:val="clear" w:color="auto" w:fill="336699"/>
          </w:tcPr>
          <w:p w14:paraId="48534C7E" w14:textId="77777777" w:rsidR="007C1494" w:rsidRPr="00593750" w:rsidRDefault="007C1494" w:rsidP="000C79DD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9" w:type="dxa"/>
            <w:vMerge/>
            <w:shd w:val="clear" w:color="auto" w:fill="336699"/>
          </w:tcPr>
          <w:p w14:paraId="3EAA64BA" w14:textId="77777777" w:rsidR="007C1494" w:rsidRPr="00593750" w:rsidRDefault="007C1494" w:rsidP="000C7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44F" w:rsidRPr="00593750" w14:paraId="756B4159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2127" w:type="dxa"/>
            <w:shd w:val="clear" w:color="auto" w:fill="DBE5F1" w:themeFill="accent1" w:themeFillTint="33"/>
          </w:tcPr>
          <w:p w14:paraId="1D87A303" w14:textId="77777777" w:rsidR="008C344F" w:rsidRPr="00593750" w:rsidRDefault="007C1494" w:rsidP="008C344F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General conditions of employment</w:t>
            </w:r>
          </w:p>
        </w:tc>
        <w:tc>
          <w:tcPr>
            <w:tcW w:w="8364" w:type="dxa"/>
            <w:gridSpan w:val="2"/>
            <w:vAlign w:val="center"/>
          </w:tcPr>
          <w:p w14:paraId="77856D26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is an Equal Employment Opportunity employer and promotes equal employment opportunities and </w:t>
            </w:r>
            <w:r w:rsidR="001C6A97" w:rsidRPr="00593750">
              <w:rPr>
                <w:rFonts w:eastAsia="MS Mincho" w:cstheme="minorHAnsi"/>
                <w:sz w:val="20"/>
                <w:szCs w:val="20"/>
              </w:rPr>
              <w:t>d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iversity within its wor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>k place</w:t>
            </w:r>
          </w:p>
          <w:p w14:paraId="54B93A72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provides a smoke free environment. Smoking within </w:t>
            </w:r>
            <w:r w:rsidR="00687FC3">
              <w:rPr>
                <w:rFonts w:eastAsia="MS Mincho" w:cstheme="minorHAnsi"/>
                <w:sz w:val="20"/>
                <w:szCs w:val="20"/>
              </w:rPr>
              <w:t>Aminya’s</w:t>
            </w:r>
            <w:r w:rsidR="001B008B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premise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 xml:space="preserve">s is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>prohibited.</w:t>
            </w:r>
          </w:p>
          <w:p w14:paraId="61041A21" w14:textId="77777777" w:rsidR="00C62D6B" w:rsidRPr="000502A0" w:rsidRDefault="007D28E3" w:rsidP="000502A0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 w:rsidRPr="00593750">
              <w:rPr>
                <w:rFonts w:eastAsia="MS Mincho" w:cstheme="minorHAnsi"/>
                <w:sz w:val="20"/>
                <w:szCs w:val="20"/>
              </w:rPr>
              <w:t xml:space="preserve">Enterprise Agreements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apply to various occupational groups that </w:t>
            </w:r>
            <w:r w:rsidRPr="00593750">
              <w:rPr>
                <w:rFonts w:eastAsia="MS Mincho" w:cstheme="minorHAnsi"/>
                <w:sz w:val="20"/>
                <w:szCs w:val="20"/>
              </w:rPr>
              <w:t>outline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 specific terms and conditions in conjunction with A</w:t>
            </w:r>
            <w:r w:rsidRPr="00593750">
              <w:rPr>
                <w:rFonts w:eastAsia="MS Mincho" w:cstheme="minorHAnsi"/>
                <w:sz w:val="20"/>
                <w:szCs w:val="20"/>
              </w:rPr>
              <w:t>ward condition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s </w:t>
            </w:r>
          </w:p>
        </w:tc>
      </w:tr>
      <w:tr w:rsidR="00FC51D6" w:rsidRPr="00593750" w14:paraId="6A54AA24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127" w:type="dxa"/>
            <w:shd w:val="clear" w:color="auto" w:fill="DBE5F1" w:themeFill="accent1" w:themeFillTint="33"/>
          </w:tcPr>
          <w:p w14:paraId="2EB6D99C" w14:textId="77777777" w:rsidR="00FC51D6" w:rsidRPr="00593750" w:rsidRDefault="007C1494" w:rsidP="00555A99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8364" w:type="dxa"/>
            <w:gridSpan w:val="2"/>
          </w:tcPr>
          <w:p w14:paraId="37C70D44" w14:textId="77777777" w:rsidR="00C62D6B" w:rsidRPr="00593750" w:rsidRDefault="00FC51D6" w:rsidP="009649DE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The role is performed in accordance with </w:t>
            </w:r>
            <w:r w:rsidR="009649DE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Policies and Procedures </w:t>
            </w:r>
            <w:r w:rsidR="005A79C6" w:rsidRPr="00593750">
              <w:rPr>
                <w:rFonts w:cstheme="minorHAnsi"/>
                <w:sz w:val="20"/>
                <w:szCs w:val="20"/>
              </w:rPr>
              <w:t>and the</w:t>
            </w:r>
            <w:r w:rsidRPr="00593750">
              <w:rPr>
                <w:rFonts w:cstheme="minorHAnsi"/>
                <w:sz w:val="20"/>
                <w:szCs w:val="20"/>
              </w:rPr>
              <w:t xml:space="preserve"> Code of Conduct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 for Employees. </w:t>
            </w:r>
          </w:p>
        </w:tc>
      </w:tr>
      <w:tr w:rsidR="009B7527" w:rsidRPr="00593750" w14:paraId="71688109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4110"/>
        </w:trPr>
        <w:tc>
          <w:tcPr>
            <w:tcW w:w="2127" w:type="dxa"/>
            <w:shd w:val="clear" w:color="auto" w:fill="DBE5F1" w:themeFill="accent1" w:themeFillTint="33"/>
          </w:tcPr>
          <w:p w14:paraId="4D100902" w14:textId="77777777" w:rsidR="009B7527" w:rsidRPr="00593750" w:rsidRDefault="007C1494" w:rsidP="00F07E9E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Work health and safety</w:t>
            </w:r>
          </w:p>
        </w:tc>
        <w:tc>
          <w:tcPr>
            <w:tcW w:w="8364" w:type="dxa"/>
            <w:gridSpan w:val="2"/>
            <w:vAlign w:val="center"/>
          </w:tcPr>
          <w:p w14:paraId="7B367B13" w14:textId="77777777" w:rsidR="00BA31B9" w:rsidRPr="00593750" w:rsidRDefault="00BA31B9" w:rsidP="00641341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Employees have a legal obligation to take steps to protect themselves from risks to health and safety and make sure they do not cause a risk to others through any act or omission. In particular an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 is required to</w:t>
            </w:r>
            <w:r w:rsidRPr="00593750">
              <w:rPr>
                <w:rFonts w:cstheme="minorHAnsi"/>
                <w:sz w:val="20"/>
                <w:szCs w:val="20"/>
              </w:rPr>
              <w:t>:</w:t>
            </w:r>
          </w:p>
          <w:p w14:paraId="741C7093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Carry out their roles and responsibilities as identified in the </w:t>
            </w:r>
            <w:r w:rsidR="001B068A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5A79C6" w:rsidRPr="00593750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Injury Management policies </w:t>
            </w:r>
            <w:r w:rsidR="002D6CD0" w:rsidRPr="00593750">
              <w:rPr>
                <w:rFonts w:cstheme="minorHAnsi"/>
                <w:sz w:val="20"/>
                <w:szCs w:val="20"/>
              </w:rPr>
              <w:t>and</w:t>
            </w:r>
            <w:r w:rsidRPr="00593750">
              <w:rPr>
                <w:rFonts w:cstheme="minorHAnsi"/>
                <w:sz w:val="20"/>
                <w:szCs w:val="20"/>
              </w:rPr>
              <w:t xml:space="preserve"> procedures.</w:t>
            </w:r>
          </w:p>
          <w:p w14:paraId="0217AE2B" w14:textId="77777777" w:rsidR="00CF5E42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Aminya quality management systems and commitment to processes of continuous improvement activities, including auditing, surveys and needs analysis</w:t>
            </w:r>
          </w:p>
          <w:p w14:paraId="61815759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Comply with the requirements of the 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WH&amp;S Act 2012 </w:t>
            </w:r>
          </w:p>
          <w:p w14:paraId="3A00E639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Actively contribute to consultative and participative arrangements for the management of 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WH&amp;S </w:t>
            </w:r>
            <w:r w:rsidRPr="00593750">
              <w:rPr>
                <w:rFonts w:cstheme="minorHAnsi"/>
                <w:sz w:val="20"/>
                <w:szCs w:val="20"/>
              </w:rPr>
              <w:t>and Injury Management.</w:t>
            </w:r>
          </w:p>
          <w:p w14:paraId="4F8CF0F9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Undertake training provided to protect the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whilst at work.</w:t>
            </w:r>
          </w:p>
          <w:p w14:paraId="6D05593F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Follow reasonable instructions and follow Standard Operational Procedures, Standard Work Method Statements and Safe Work Plans designed to protect </w:t>
            </w:r>
            <w:r w:rsidR="005A79C6" w:rsidRPr="00593750">
              <w:rPr>
                <w:rFonts w:cstheme="minorHAnsi"/>
                <w:sz w:val="20"/>
                <w:szCs w:val="20"/>
              </w:rPr>
              <w:t>the 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and the health and safety of others.</w:t>
            </w:r>
          </w:p>
          <w:p w14:paraId="013DA919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Have a sound understanding of human resource principles with regards to training and development, equal opportunity and occupational health, safety and welfare and associated policies.</w:t>
            </w:r>
          </w:p>
          <w:p w14:paraId="358CC414" w14:textId="77777777" w:rsidR="00940F27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mandatory Health and Safety training sessions</w:t>
            </w:r>
          </w:p>
          <w:p w14:paraId="744AFC3E" w14:textId="77777777" w:rsidR="00532C58" w:rsidRPr="00593750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reporting incidents and hazards in the workplace</w:t>
            </w:r>
          </w:p>
          <w:p w14:paraId="7BBBDF0A" w14:textId="77777777" w:rsidR="00C62D6B" w:rsidRPr="00593750" w:rsidRDefault="00C62D6B" w:rsidP="00C62D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A4F" w:rsidRPr="00593750" w14:paraId="171FA3CF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512B2098" w14:textId="77777777" w:rsidR="00975A4F" w:rsidRPr="00593750" w:rsidRDefault="00532C58" w:rsidP="00FF72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Privacy and Confidentiality</w:t>
            </w:r>
          </w:p>
        </w:tc>
        <w:tc>
          <w:tcPr>
            <w:tcW w:w="8364" w:type="dxa"/>
            <w:gridSpan w:val="2"/>
            <w:vAlign w:val="center"/>
          </w:tcPr>
          <w:p w14:paraId="7E8E3777" w14:textId="77777777" w:rsidR="002D6CD0" w:rsidRPr="00593750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Applying the principles of privacy and confidentiality to all work practices</w:t>
            </w:r>
          </w:p>
          <w:p w14:paraId="30F2BEAD" w14:textId="77777777" w:rsidR="00975A4F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Adhering to Aminya’s Privacy of Information Policy and Procedure at all times</w:t>
            </w:r>
          </w:p>
          <w:p w14:paraId="6B89C2CB" w14:textId="77777777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Maintaining a duty of confidentiality to all residents, clients, volunteers and staff</w:t>
            </w:r>
          </w:p>
          <w:p w14:paraId="1F02DEAF" w14:textId="77777777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any “Confidential Information” that becomes known through the course of employment</w:t>
            </w:r>
            <w:r w:rsidR="00993943">
              <w:rPr>
                <w:rFonts w:cstheme="minorHAnsi"/>
                <w:sz w:val="20"/>
                <w:szCs w:val="20"/>
              </w:rPr>
              <w:t xml:space="preserve"> with Aminya is kept confidential </w:t>
            </w:r>
          </w:p>
          <w:p w14:paraId="4C2599A5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or operational interest</w:t>
            </w:r>
          </w:p>
          <w:p w14:paraId="59842003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Methodology and affairs</w:t>
            </w:r>
          </w:p>
          <w:p w14:paraId="3CCD0176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information</w:t>
            </w:r>
          </w:p>
          <w:p w14:paraId="1FBDD4B3" w14:textId="77777777" w:rsidR="00993943" w:rsidRP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Anything else that is notified as being confidential</w:t>
            </w:r>
          </w:p>
          <w:p w14:paraId="50959FC8" w14:textId="77777777" w:rsidR="00C62D6B" w:rsidRPr="00593750" w:rsidRDefault="00C62D6B" w:rsidP="007C1494">
            <w:pPr>
              <w:ind w:left="318" w:hanging="284"/>
              <w:rPr>
                <w:rFonts w:cstheme="minorHAnsi"/>
                <w:sz w:val="20"/>
                <w:szCs w:val="20"/>
              </w:rPr>
            </w:pPr>
          </w:p>
        </w:tc>
      </w:tr>
      <w:tr w:rsidR="00BA31B9" w:rsidRPr="00593750" w14:paraId="7FA423DB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33DC021C" w14:textId="77777777" w:rsidR="00BA31B9" w:rsidRPr="00593750" w:rsidRDefault="007C1494" w:rsidP="00FF72C5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Records management responsibilities</w:t>
            </w:r>
          </w:p>
        </w:tc>
        <w:tc>
          <w:tcPr>
            <w:tcW w:w="8364" w:type="dxa"/>
            <w:gridSpan w:val="2"/>
            <w:vAlign w:val="center"/>
          </w:tcPr>
          <w:p w14:paraId="1A49B1B5" w14:textId="77777777" w:rsidR="001F5F14" w:rsidRPr="00593750" w:rsidRDefault="00FF72C5" w:rsidP="00B12A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mployees have an </w:t>
            </w:r>
            <w:r w:rsidR="00BA31B9" w:rsidRPr="00593750">
              <w:rPr>
                <w:rFonts w:cstheme="minorHAnsi"/>
                <w:sz w:val="20"/>
                <w:szCs w:val="20"/>
              </w:rPr>
              <w:t>obligation to meet the requirements of the State Records Act</w:t>
            </w:r>
            <w:r w:rsidR="002D6CD0" w:rsidRPr="00593750">
              <w:rPr>
                <w:rFonts w:cstheme="minorHAnsi"/>
                <w:sz w:val="20"/>
                <w:szCs w:val="20"/>
              </w:rPr>
              <w:t>,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to comply with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Records Management Policy, Procedures and Standards and to properly use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BA31B9" w:rsidRPr="00593750">
              <w:rPr>
                <w:rFonts w:cstheme="minorHAnsi"/>
                <w:sz w:val="20"/>
                <w:szCs w:val="20"/>
              </w:rPr>
              <w:t>'s Records Management Systems</w:t>
            </w:r>
          </w:p>
          <w:p w14:paraId="183335D0" w14:textId="77777777" w:rsidR="00C62D6B" w:rsidRPr="00593750" w:rsidRDefault="00C62D6B" w:rsidP="00B12A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008AB5" w14:textId="77777777" w:rsidR="00FC2E8E" w:rsidRPr="00593750" w:rsidRDefault="00FC2E8E" w:rsidP="000502A0">
      <w:pPr>
        <w:rPr>
          <w:rFonts w:cstheme="minorHAnsi"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7152"/>
      </w:tblGrid>
      <w:tr w:rsidR="00F174C2" w14:paraId="14C7CE93" w14:textId="77777777" w:rsidTr="000C50FD">
        <w:trPr>
          <w:trHeight w:val="497"/>
        </w:trPr>
        <w:tc>
          <w:tcPr>
            <w:tcW w:w="104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AD62F39" w14:textId="77777777" w:rsidR="00F174C2" w:rsidRDefault="00F174C2">
            <w:pPr>
              <w:ind w:left="318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SIGNATURE:</w:t>
            </w:r>
          </w:p>
          <w:p w14:paraId="15DE8603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53CF9A36" w14:textId="77777777" w:rsidTr="00F0220D">
        <w:trPr>
          <w:trHeight w:val="351"/>
        </w:trPr>
        <w:tc>
          <w:tcPr>
            <w:tcW w:w="33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504C9AB1" w14:textId="77777777" w:rsidR="00F174C2" w:rsidRDefault="00A966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Employee:</w:t>
            </w:r>
          </w:p>
        </w:tc>
        <w:tc>
          <w:tcPr>
            <w:tcW w:w="7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5D76878" w14:textId="27FA5921" w:rsidR="00F174C2" w:rsidRDefault="00713E29" w:rsidP="00713E29">
            <w:pPr>
              <w:rPr>
                <w:rFonts w:cstheme="minorHAnsi"/>
                <w:sz w:val="20"/>
                <w:szCs w:val="20"/>
              </w:rPr>
            </w:pPr>
            <w:r w:rsidRPr="00713E29">
              <w:rPr>
                <w:rFonts w:cstheme="minorHAnsi"/>
                <w:b/>
                <w:bCs w:val="0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:                                          </w:t>
            </w:r>
            <w:r w:rsidRPr="00713E29">
              <w:rPr>
                <w:rFonts w:cstheme="minorHAnsi"/>
                <w:b/>
                <w:bCs w:val="0"/>
                <w:sz w:val="20"/>
                <w:szCs w:val="20"/>
              </w:rPr>
              <w:t>Signature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F174C2" w14:paraId="45875274" w14:textId="77777777" w:rsidTr="000C50FD">
        <w:trPr>
          <w:trHeight w:val="413"/>
        </w:trPr>
        <w:tc>
          <w:tcPr>
            <w:tcW w:w="33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060F52BB" w14:textId="764404E3" w:rsidR="00F0220D" w:rsidRPr="00713E29" w:rsidRDefault="00713E29">
            <w:pPr>
              <w:rPr>
                <w:rFonts w:cstheme="minorHAnsi"/>
                <w:b/>
                <w:sz w:val="20"/>
                <w:szCs w:val="20"/>
              </w:rPr>
            </w:pPr>
            <w:r w:rsidRPr="00713E29">
              <w:rPr>
                <w:rFonts w:cstheme="minorHAnsi"/>
                <w:b/>
                <w:sz w:val="20"/>
                <w:szCs w:val="20"/>
              </w:rPr>
              <w:t>Business Manager</w:t>
            </w:r>
          </w:p>
        </w:tc>
        <w:tc>
          <w:tcPr>
            <w:tcW w:w="7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4E58E0D" w14:textId="54FF264A" w:rsidR="00F174C2" w:rsidRDefault="00713E29">
            <w:pPr>
              <w:rPr>
                <w:rFonts w:cstheme="minorHAnsi"/>
                <w:sz w:val="20"/>
                <w:szCs w:val="20"/>
              </w:rPr>
            </w:pPr>
            <w:r w:rsidRPr="00713E29">
              <w:rPr>
                <w:rFonts w:cstheme="minorHAnsi"/>
                <w:b/>
                <w:bCs w:val="0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:  Simone Bailey                 </w:t>
            </w:r>
            <w:r w:rsidRPr="00713E29">
              <w:rPr>
                <w:rFonts w:cstheme="minorHAnsi"/>
                <w:b/>
                <w:bCs w:val="0"/>
                <w:sz w:val="20"/>
                <w:szCs w:val="20"/>
              </w:rPr>
              <w:t>Signature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</w:p>
        </w:tc>
      </w:tr>
      <w:tr w:rsidR="00F174C2" w14:paraId="2E6B4CF8" w14:textId="77777777" w:rsidTr="000C50FD">
        <w:trPr>
          <w:trHeight w:val="413"/>
        </w:trPr>
        <w:tc>
          <w:tcPr>
            <w:tcW w:w="33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7372FBC9" w14:textId="77777777" w:rsidR="00F174C2" w:rsidRDefault="00F174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7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D325172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7495AA" w14:textId="77777777" w:rsidR="00FC2E8E" w:rsidRPr="00593750" w:rsidRDefault="00FC2E8E" w:rsidP="00687FC3">
      <w:pPr>
        <w:rPr>
          <w:rFonts w:cstheme="minorHAnsi"/>
          <w:sz w:val="20"/>
          <w:szCs w:val="20"/>
        </w:rPr>
      </w:pPr>
    </w:p>
    <w:sectPr w:rsidR="00FC2E8E" w:rsidRPr="00593750" w:rsidSect="00ED4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1043" w:bottom="28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FE3F" w14:textId="77777777" w:rsidR="00597FDC" w:rsidRDefault="00597FDC">
      <w:r>
        <w:separator/>
      </w:r>
    </w:p>
    <w:p w14:paraId="05289753" w14:textId="77777777" w:rsidR="00597FDC" w:rsidRDefault="00597FDC"/>
  </w:endnote>
  <w:endnote w:type="continuationSeparator" w:id="0">
    <w:p w14:paraId="5A81E74A" w14:textId="77777777" w:rsidR="00597FDC" w:rsidRDefault="00597FDC">
      <w:r>
        <w:continuationSeparator/>
      </w:r>
    </w:p>
    <w:p w14:paraId="4492F114" w14:textId="77777777" w:rsidR="00597FDC" w:rsidRDefault="0059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89CC" w14:textId="77777777" w:rsidR="00597FDC" w:rsidRDefault="0059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E820" w14:textId="77777777" w:rsidR="00597FDC" w:rsidRPr="000E2753" w:rsidRDefault="007B44BA" w:rsidP="007C1494">
    <w:pPr>
      <w:pStyle w:val="Footer"/>
      <w:pBdr>
        <w:top w:val="single" w:sz="4" w:space="1" w:color="B8CCE4" w:themeColor="accent1" w:themeTint="66"/>
      </w:pBdr>
      <w:tabs>
        <w:tab w:val="clear" w:pos="8640"/>
      </w:tabs>
      <w:ind w:left="-851"/>
      <w:rPr>
        <w:color w:val="365F91" w:themeColor="accent1" w:themeShade="BF"/>
      </w:rPr>
    </w:pPr>
    <w:r>
      <w:rPr>
        <w:color w:val="365F91" w:themeColor="accent1" w:themeShade="BF"/>
      </w:rPr>
      <w:t>Enrolled Nurse</w:t>
    </w:r>
    <w:r w:rsidR="00597FDC">
      <w:rPr>
        <w:color w:val="365F91" w:themeColor="accent1" w:themeShade="BF"/>
      </w:rPr>
      <w:t xml:space="preserve"> </w:t>
    </w:r>
    <w:r w:rsidR="00597FDC" w:rsidRPr="000E2753">
      <w:rPr>
        <w:color w:val="365F91" w:themeColor="accent1" w:themeShade="BF"/>
      </w:rPr>
      <w:t xml:space="preserve">POSITION DESCRIPTION </w:t>
    </w:r>
    <w:r w:rsidR="00597FDC">
      <w:rPr>
        <w:color w:val="365F91" w:themeColor="accent1" w:themeShade="BF"/>
      </w:rPr>
      <w:t xml:space="preserve">- Aminya  </w:t>
    </w:r>
    <w:r w:rsidR="00597FDC" w:rsidRPr="000E2753">
      <w:rPr>
        <w:color w:val="365F91" w:themeColor="accent1" w:themeShade="BF"/>
      </w:rPr>
      <w:tab/>
    </w:r>
    <w:r w:rsidR="00597FDC">
      <w:rPr>
        <w:color w:val="365F91" w:themeColor="accent1" w:themeShade="BF"/>
      </w:rPr>
      <w:tab/>
    </w:r>
    <w:r w:rsidR="00597FDC" w:rsidRPr="000E2753">
      <w:rPr>
        <w:color w:val="365F91" w:themeColor="accent1" w:themeShade="BF"/>
        <w:spacing w:val="60"/>
      </w:rPr>
      <w:t>Page</w:t>
    </w:r>
    <w:r w:rsidR="00597FDC" w:rsidRPr="000E2753">
      <w:rPr>
        <w:color w:val="365F91" w:themeColor="accent1" w:themeShade="BF"/>
      </w:rPr>
      <w:t xml:space="preserve"> | </w:t>
    </w:r>
    <w:r w:rsidR="0094684D" w:rsidRPr="000E2753">
      <w:rPr>
        <w:bCs w:val="0"/>
        <w:color w:val="365F91" w:themeColor="accent1" w:themeShade="BF"/>
      </w:rPr>
      <w:fldChar w:fldCharType="begin"/>
    </w:r>
    <w:r w:rsidR="00597FDC" w:rsidRPr="000E2753">
      <w:rPr>
        <w:color w:val="365F91" w:themeColor="accent1" w:themeShade="BF"/>
      </w:rPr>
      <w:instrText xml:space="preserve"> PAGE   \* MERGEFORMAT </w:instrText>
    </w:r>
    <w:r w:rsidR="0094684D" w:rsidRPr="000E2753">
      <w:rPr>
        <w:bCs w:val="0"/>
        <w:color w:val="365F91" w:themeColor="accent1" w:themeShade="BF"/>
      </w:rPr>
      <w:fldChar w:fldCharType="separate"/>
    </w:r>
    <w:r w:rsidR="00C648A0" w:rsidRPr="00C648A0">
      <w:rPr>
        <w:b/>
        <w:noProof/>
        <w:color w:val="365F91" w:themeColor="accent1" w:themeShade="BF"/>
      </w:rPr>
      <w:t>2</w:t>
    </w:r>
    <w:r w:rsidR="0094684D" w:rsidRPr="000E2753">
      <w:rPr>
        <w:b/>
        <w:bCs w:val="0"/>
        <w:noProof/>
        <w:color w:val="365F91" w:themeColor="accent1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16F42" w14:textId="77777777" w:rsidR="00597FDC" w:rsidRDefault="00597FDC" w:rsidP="00983DB3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94684D">
      <w:rPr>
        <w:bCs w:val="0"/>
      </w:rPr>
      <w:fldChar w:fldCharType="begin"/>
    </w:r>
    <w:r>
      <w:instrText xml:space="preserve"> PAGE   \* MERGEFORMAT </w:instrText>
    </w:r>
    <w:r w:rsidR="0094684D">
      <w:rPr>
        <w:bCs w:val="0"/>
      </w:rPr>
      <w:fldChar w:fldCharType="separate"/>
    </w:r>
    <w:r w:rsidRPr="00983DB3">
      <w:rPr>
        <w:b/>
        <w:noProof/>
      </w:rPr>
      <w:t>1</w:t>
    </w:r>
    <w:r w:rsidR="0094684D">
      <w:rPr>
        <w:b/>
        <w:bCs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D277E" w14:textId="77777777" w:rsidR="00597FDC" w:rsidRDefault="00597FDC">
      <w:r>
        <w:separator/>
      </w:r>
    </w:p>
    <w:p w14:paraId="3230C845" w14:textId="77777777" w:rsidR="00597FDC" w:rsidRDefault="00597FDC"/>
  </w:footnote>
  <w:footnote w:type="continuationSeparator" w:id="0">
    <w:p w14:paraId="0339016E" w14:textId="77777777" w:rsidR="00597FDC" w:rsidRDefault="00597FDC">
      <w:r>
        <w:continuationSeparator/>
      </w:r>
    </w:p>
    <w:p w14:paraId="3CF8828C" w14:textId="77777777" w:rsidR="00597FDC" w:rsidRDefault="00597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552D" w14:textId="77777777" w:rsidR="00597FDC" w:rsidRDefault="0059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D312" w14:textId="77777777" w:rsidR="00597FDC" w:rsidRDefault="00597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B063" w14:textId="77777777" w:rsidR="00597FDC" w:rsidRDefault="0059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793"/>
    <w:multiLevelType w:val="hybridMultilevel"/>
    <w:tmpl w:val="5F50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3E"/>
    <w:multiLevelType w:val="hybridMultilevel"/>
    <w:tmpl w:val="7CD2E29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57"/>
    <w:multiLevelType w:val="hybridMultilevel"/>
    <w:tmpl w:val="A4C82EC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8AF"/>
    <w:multiLevelType w:val="hybridMultilevel"/>
    <w:tmpl w:val="03008E00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6798A"/>
    <w:multiLevelType w:val="hybridMultilevel"/>
    <w:tmpl w:val="02280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5848"/>
    <w:multiLevelType w:val="hybridMultilevel"/>
    <w:tmpl w:val="29AADD28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F790D2E"/>
    <w:multiLevelType w:val="hybridMultilevel"/>
    <w:tmpl w:val="A2866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74F20"/>
    <w:multiLevelType w:val="hybridMultilevel"/>
    <w:tmpl w:val="85B0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24B3"/>
    <w:multiLevelType w:val="hybridMultilevel"/>
    <w:tmpl w:val="352A0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57EC"/>
    <w:multiLevelType w:val="hybridMultilevel"/>
    <w:tmpl w:val="71428588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E7084"/>
    <w:multiLevelType w:val="hybridMultilevel"/>
    <w:tmpl w:val="E982A968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5777"/>
    <w:multiLevelType w:val="hybridMultilevel"/>
    <w:tmpl w:val="4F1C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56632"/>
    <w:multiLevelType w:val="hybridMultilevel"/>
    <w:tmpl w:val="DC182132"/>
    <w:lvl w:ilvl="0" w:tplc="FFFFFFFF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56C6"/>
    <w:multiLevelType w:val="hybridMultilevel"/>
    <w:tmpl w:val="40042DD8"/>
    <w:lvl w:ilvl="0" w:tplc="F38C0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5BFA"/>
    <w:multiLevelType w:val="hybridMultilevel"/>
    <w:tmpl w:val="BB92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F73F4"/>
    <w:multiLevelType w:val="hybridMultilevel"/>
    <w:tmpl w:val="544AFF1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55C72BE"/>
    <w:multiLevelType w:val="hybridMultilevel"/>
    <w:tmpl w:val="653AF850"/>
    <w:lvl w:ilvl="0" w:tplc="66A07E9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319"/>
    <w:multiLevelType w:val="hybridMultilevel"/>
    <w:tmpl w:val="39106C80"/>
    <w:lvl w:ilvl="0" w:tplc="0BF0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03CF"/>
    <w:multiLevelType w:val="hybridMultilevel"/>
    <w:tmpl w:val="86D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70B3"/>
    <w:multiLevelType w:val="hybridMultilevel"/>
    <w:tmpl w:val="9DE004D0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077E"/>
    <w:multiLevelType w:val="hybridMultilevel"/>
    <w:tmpl w:val="1EF4E8C6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64E9"/>
    <w:multiLevelType w:val="hybridMultilevel"/>
    <w:tmpl w:val="AF5603A4"/>
    <w:lvl w:ilvl="0" w:tplc="9A8C9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C49B4"/>
    <w:multiLevelType w:val="hybridMultilevel"/>
    <w:tmpl w:val="9CA4BCFC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04FD"/>
    <w:multiLevelType w:val="hybridMultilevel"/>
    <w:tmpl w:val="367EE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32BE"/>
    <w:multiLevelType w:val="hybridMultilevel"/>
    <w:tmpl w:val="E58CCBCC"/>
    <w:lvl w:ilvl="0" w:tplc="0C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20"/>
  </w:num>
  <w:num w:numId="5">
    <w:abstractNumId w:val="10"/>
  </w:num>
  <w:num w:numId="6">
    <w:abstractNumId w:val="13"/>
  </w:num>
  <w:num w:numId="7">
    <w:abstractNumId w:val="21"/>
  </w:num>
  <w:num w:numId="8">
    <w:abstractNumId w:val="2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18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5"/>
  </w:num>
  <w:num w:numId="20">
    <w:abstractNumId w:val="14"/>
  </w:num>
  <w:num w:numId="21">
    <w:abstractNumId w:val="8"/>
  </w:num>
  <w:num w:numId="22">
    <w:abstractNumId w:val="23"/>
  </w:num>
  <w:num w:numId="23">
    <w:abstractNumId w:val="7"/>
  </w:num>
  <w:num w:numId="24">
    <w:abstractNumId w:val="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333"/>
    <w:rsid w:val="00000D8E"/>
    <w:rsid w:val="00003644"/>
    <w:rsid w:val="000072C0"/>
    <w:rsid w:val="00015CC8"/>
    <w:rsid w:val="00017348"/>
    <w:rsid w:val="00020A4E"/>
    <w:rsid w:val="00023092"/>
    <w:rsid w:val="0002661E"/>
    <w:rsid w:val="00032C52"/>
    <w:rsid w:val="00040BD6"/>
    <w:rsid w:val="000502A0"/>
    <w:rsid w:val="000536E5"/>
    <w:rsid w:val="00053A2E"/>
    <w:rsid w:val="00056F2D"/>
    <w:rsid w:val="00061AAF"/>
    <w:rsid w:val="00062DB3"/>
    <w:rsid w:val="00063153"/>
    <w:rsid w:val="00066EB9"/>
    <w:rsid w:val="00071CD9"/>
    <w:rsid w:val="00077E13"/>
    <w:rsid w:val="000802CA"/>
    <w:rsid w:val="0008247D"/>
    <w:rsid w:val="0008525A"/>
    <w:rsid w:val="00086F28"/>
    <w:rsid w:val="00090C57"/>
    <w:rsid w:val="00091EB8"/>
    <w:rsid w:val="00094932"/>
    <w:rsid w:val="00097765"/>
    <w:rsid w:val="000A70EF"/>
    <w:rsid w:val="000B7433"/>
    <w:rsid w:val="000C50FD"/>
    <w:rsid w:val="000C7089"/>
    <w:rsid w:val="000C79DD"/>
    <w:rsid w:val="000D059D"/>
    <w:rsid w:val="000D3285"/>
    <w:rsid w:val="000D50D7"/>
    <w:rsid w:val="000D7446"/>
    <w:rsid w:val="000E07F1"/>
    <w:rsid w:val="000E0A7B"/>
    <w:rsid w:val="000E1E01"/>
    <w:rsid w:val="000E2753"/>
    <w:rsid w:val="000E50E6"/>
    <w:rsid w:val="000E7DD5"/>
    <w:rsid w:val="000F4EDA"/>
    <w:rsid w:val="000F66ED"/>
    <w:rsid w:val="00102828"/>
    <w:rsid w:val="0011229F"/>
    <w:rsid w:val="00116DEE"/>
    <w:rsid w:val="00121B61"/>
    <w:rsid w:val="00123798"/>
    <w:rsid w:val="00124885"/>
    <w:rsid w:val="00124B6C"/>
    <w:rsid w:val="00134C4B"/>
    <w:rsid w:val="00136C76"/>
    <w:rsid w:val="00141110"/>
    <w:rsid w:val="00141C9E"/>
    <w:rsid w:val="00142755"/>
    <w:rsid w:val="00146390"/>
    <w:rsid w:val="001515AF"/>
    <w:rsid w:val="001522E3"/>
    <w:rsid w:val="001529D5"/>
    <w:rsid w:val="00153199"/>
    <w:rsid w:val="00157817"/>
    <w:rsid w:val="00164234"/>
    <w:rsid w:val="001718C1"/>
    <w:rsid w:val="00185F68"/>
    <w:rsid w:val="0019024E"/>
    <w:rsid w:val="00191434"/>
    <w:rsid w:val="001A3723"/>
    <w:rsid w:val="001A5651"/>
    <w:rsid w:val="001B008B"/>
    <w:rsid w:val="001B068A"/>
    <w:rsid w:val="001B0862"/>
    <w:rsid w:val="001B2FC4"/>
    <w:rsid w:val="001B3A0F"/>
    <w:rsid w:val="001B6AC1"/>
    <w:rsid w:val="001C15F2"/>
    <w:rsid w:val="001C31E6"/>
    <w:rsid w:val="001C5F68"/>
    <w:rsid w:val="001C6A97"/>
    <w:rsid w:val="001D6175"/>
    <w:rsid w:val="001D6AF5"/>
    <w:rsid w:val="001D7B92"/>
    <w:rsid w:val="001E00E0"/>
    <w:rsid w:val="001E2AAA"/>
    <w:rsid w:val="001E5279"/>
    <w:rsid w:val="001E79AB"/>
    <w:rsid w:val="001F5F14"/>
    <w:rsid w:val="0020084A"/>
    <w:rsid w:val="00202347"/>
    <w:rsid w:val="00206AC3"/>
    <w:rsid w:val="002118DA"/>
    <w:rsid w:val="00226273"/>
    <w:rsid w:val="002275E5"/>
    <w:rsid w:val="00227E01"/>
    <w:rsid w:val="00237CB8"/>
    <w:rsid w:val="002469EA"/>
    <w:rsid w:val="002504B2"/>
    <w:rsid w:val="00253A11"/>
    <w:rsid w:val="00256F9F"/>
    <w:rsid w:val="0026082E"/>
    <w:rsid w:val="00262857"/>
    <w:rsid w:val="00262C79"/>
    <w:rsid w:val="002630C9"/>
    <w:rsid w:val="00263B58"/>
    <w:rsid w:val="0029408C"/>
    <w:rsid w:val="00295078"/>
    <w:rsid w:val="00295F3A"/>
    <w:rsid w:val="00296203"/>
    <w:rsid w:val="002A1E15"/>
    <w:rsid w:val="002A4CBA"/>
    <w:rsid w:val="002A5FE8"/>
    <w:rsid w:val="002A620B"/>
    <w:rsid w:val="002A7444"/>
    <w:rsid w:val="002B0B42"/>
    <w:rsid w:val="002B1255"/>
    <w:rsid w:val="002B5B1E"/>
    <w:rsid w:val="002C2478"/>
    <w:rsid w:val="002C2FA8"/>
    <w:rsid w:val="002C5A39"/>
    <w:rsid w:val="002C7451"/>
    <w:rsid w:val="002D10F5"/>
    <w:rsid w:val="002D6CD0"/>
    <w:rsid w:val="002E2E00"/>
    <w:rsid w:val="002E354E"/>
    <w:rsid w:val="002F0400"/>
    <w:rsid w:val="002F20F2"/>
    <w:rsid w:val="002F5FF9"/>
    <w:rsid w:val="00302081"/>
    <w:rsid w:val="00306DE5"/>
    <w:rsid w:val="00310A50"/>
    <w:rsid w:val="00310D16"/>
    <w:rsid w:val="003165A2"/>
    <w:rsid w:val="003167DA"/>
    <w:rsid w:val="003211E9"/>
    <w:rsid w:val="00324F54"/>
    <w:rsid w:val="00326532"/>
    <w:rsid w:val="00327401"/>
    <w:rsid w:val="0033110E"/>
    <w:rsid w:val="003322AC"/>
    <w:rsid w:val="00333076"/>
    <w:rsid w:val="00340A4F"/>
    <w:rsid w:val="003460CC"/>
    <w:rsid w:val="00350B09"/>
    <w:rsid w:val="00360227"/>
    <w:rsid w:val="003655F9"/>
    <w:rsid w:val="00370962"/>
    <w:rsid w:val="00373428"/>
    <w:rsid w:val="00373B3C"/>
    <w:rsid w:val="00375D02"/>
    <w:rsid w:val="00383201"/>
    <w:rsid w:val="00383EB8"/>
    <w:rsid w:val="00385FBE"/>
    <w:rsid w:val="00393D59"/>
    <w:rsid w:val="003969BF"/>
    <w:rsid w:val="003A5B74"/>
    <w:rsid w:val="003A7C83"/>
    <w:rsid w:val="003B0B70"/>
    <w:rsid w:val="003B500F"/>
    <w:rsid w:val="003B5396"/>
    <w:rsid w:val="003C1EAB"/>
    <w:rsid w:val="003C2254"/>
    <w:rsid w:val="003C2CE0"/>
    <w:rsid w:val="003D397E"/>
    <w:rsid w:val="003D4883"/>
    <w:rsid w:val="003D549A"/>
    <w:rsid w:val="003E4077"/>
    <w:rsid w:val="003E4C29"/>
    <w:rsid w:val="003F1B2C"/>
    <w:rsid w:val="00411EA4"/>
    <w:rsid w:val="00413AC5"/>
    <w:rsid w:val="004174A2"/>
    <w:rsid w:val="00417629"/>
    <w:rsid w:val="004229BC"/>
    <w:rsid w:val="0043123B"/>
    <w:rsid w:val="0043162B"/>
    <w:rsid w:val="00433CBA"/>
    <w:rsid w:val="004356CF"/>
    <w:rsid w:val="004418D4"/>
    <w:rsid w:val="00443078"/>
    <w:rsid w:val="00446925"/>
    <w:rsid w:val="0045056C"/>
    <w:rsid w:val="004541DB"/>
    <w:rsid w:val="00454926"/>
    <w:rsid w:val="004553A6"/>
    <w:rsid w:val="004560CD"/>
    <w:rsid w:val="004568B3"/>
    <w:rsid w:val="004574B9"/>
    <w:rsid w:val="00463CAF"/>
    <w:rsid w:val="00465C67"/>
    <w:rsid w:val="00471BEE"/>
    <w:rsid w:val="00473C61"/>
    <w:rsid w:val="0048630E"/>
    <w:rsid w:val="00487A38"/>
    <w:rsid w:val="00492A08"/>
    <w:rsid w:val="004953B7"/>
    <w:rsid w:val="00496DBA"/>
    <w:rsid w:val="00497987"/>
    <w:rsid w:val="00497DD0"/>
    <w:rsid w:val="004A03DB"/>
    <w:rsid w:val="004A1B2F"/>
    <w:rsid w:val="004A1D9C"/>
    <w:rsid w:val="004A29C7"/>
    <w:rsid w:val="004A7085"/>
    <w:rsid w:val="004C51BF"/>
    <w:rsid w:val="004C6EBD"/>
    <w:rsid w:val="004D1727"/>
    <w:rsid w:val="004D2638"/>
    <w:rsid w:val="004D3AC5"/>
    <w:rsid w:val="004D4F79"/>
    <w:rsid w:val="004D5DA6"/>
    <w:rsid w:val="004E379B"/>
    <w:rsid w:val="004E3CC4"/>
    <w:rsid w:val="004E45F7"/>
    <w:rsid w:val="004E5423"/>
    <w:rsid w:val="004F0897"/>
    <w:rsid w:val="005003F3"/>
    <w:rsid w:val="00500544"/>
    <w:rsid w:val="00500934"/>
    <w:rsid w:val="005037ED"/>
    <w:rsid w:val="0050481B"/>
    <w:rsid w:val="005107CC"/>
    <w:rsid w:val="00513A25"/>
    <w:rsid w:val="005252C7"/>
    <w:rsid w:val="005276A9"/>
    <w:rsid w:val="00532020"/>
    <w:rsid w:val="0053232C"/>
    <w:rsid w:val="00532C58"/>
    <w:rsid w:val="00534904"/>
    <w:rsid w:val="00537385"/>
    <w:rsid w:val="00543CBF"/>
    <w:rsid w:val="0054552F"/>
    <w:rsid w:val="00550148"/>
    <w:rsid w:val="00555A99"/>
    <w:rsid w:val="00556E6B"/>
    <w:rsid w:val="005575E5"/>
    <w:rsid w:val="00557EE0"/>
    <w:rsid w:val="005648F2"/>
    <w:rsid w:val="005702FF"/>
    <w:rsid w:val="00572B5A"/>
    <w:rsid w:val="005737E2"/>
    <w:rsid w:val="0058192E"/>
    <w:rsid w:val="00582A2A"/>
    <w:rsid w:val="005853AF"/>
    <w:rsid w:val="00587AB0"/>
    <w:rsid w:val="00591DAD"/>
    <w:rsid w:val="00593750"/>
    <w:rsid w:val="00597F60"/>
    <w:rsid w:val="00597FDC"/>
    <w:rsid w:val="005A088F"/>
    <w:rsid w:val="005A1FA5"/>
    <w:rsid w:val="005A22CC"/>
    <w:rsid w:val="005A5690"/>
    <w:rsid w:val="005A5DF5"/>
    <w:rsid w:val="005A79C6"/>
    <w:rsid w:val="005D5AAF"/>
    <w:rsid w:val="005E2DF8"/>
    <w:rsid w:val="005F01E7"/>
    <w:rsid w:val="005F3BF3"/>
    <w:rsid w:val="005F4977"/>
    <w:rsid w:val="0060399F"/>
    <w:rsid w:val="006064F7"/>
    <w:rsid w:val="0061671D"/>
    <w:rsid w:val="00624773"/>
    <w:rsid w:val="00625730"/>
    <w:rsid w:val="006277C0"/>
    <w:rsid w:val="00631652"/>
    <w:rsid w:val="00632A9E"/>
    <w:rsid w:val="0063346E"/>
    <w:rsid w:val="00641341"/>
    <w:rsid w:val="006460B5"/>
    <w:rsid w:val="006467C1"/>
    <w:rsid w:val="00646B9F"/>
    <w:rsid w:val="0065577B"/>
    <w:rsid w:val="00657F0B"/>
    <w:rsid w:val="00662BD9"/>
    <w:rsid w:val="00663187"/>
    <w:rsid w:val="00663AD2"/>
    <w:rsid w:val="00677EA5"/>
    <w:rsid w:val="00680A62"/>
    <w:rsid w:val="00685DFD"/>
    <w:rsid w:val="00687746"/>
    <w:rsid w:val="00687FC3"/>
    <w:rsid w:val="00693AC7"/>
    <w:rsid w:val="00694D7B"/>
    <w:rsid w:val="00697764"/>
    <w:rsid w:val="006977FD"/>
    <w:rsid w:val="006A2F2A"/>
    <w:rsid w:val="006A3FC3"/>
    <w:rsid w:val="006B3A12"/>
    <w:rsid w:val="006B5D33"/>
    <w:rsid w:val="006C4400"/>
    <w:rsid w:val="006D189E"/>
    <w:rsid w:val="006D1C98"/>
    <w:rsid w:val="006D32CE"/>
    <w:rsid w:val="006D43E7"/>
    <w:rsid w:val="006D53E3"/>
    <w:rsid w:val="006D5AB4"/>
    <w:rsid w:val="006D6D5D"/>
    <w:rsid w:val="006D7EA8"/>
    <w:rsid w:val="006E1617"/>
    <w:rsid w:val="006E2ED9"/>
    <w:rsid w:val="006E336A"/>
    <w:rsid w:val="006F1140"/>
    <w:rsid w:val="006F565F"/>
    <w:rsid w:val="006F76E0"/>
    <w:rsid w:val="006F7D8B"/>
    <w:rsid w:val="00701640"/>
    <w:rsid w:val="00701EB6"/>
    <w:rsid w:val="00703A48"/>
    <w:rsid w:val="00703C43"/>
    <w:rsid w:val="007041BC"/>
    <w:rsid w:val="00705849"/>
    <w:rsid w:val="00706AEB"/>
    <w:rsid w:val="007117E5"/>
    <w:rsid w:val="00713270"/>
    <w:rsid w:val="007138C5"/>
    <w:rsid w:val="00713E29"/>
    <w:rsid w:val="0071688C"/>
    <w:rsid w:val="00721CF0"/>
    <w:rsid w:val="00730C5E"/>
    <w:rsid w:val="007315B5"/>
    <w:rsid w:val="00731CC0"/>
    <w:rsid w:val="00733C24"/>
    <w:rsid w:val="00734455"/>
    <w:rsid w:val="007407FE"/>
    <w:rsid w:val="00742954"/>
    <w:rsid w:val="0074787D"/>
    <w:rsid w:val="00761E7B"/>
    <w:rsid w:val="00766437"/>
    <w:rsid w:val="0076748F"/>
    <w:rsid w:val="007746AF"/>
    <w:rsid w:val="00775D4C"/>
    <w:rsid w:val="007806F7"/>
    <w:rsid w:val="0078509D"/>
    <w:rsid w:val="00785F87"/>
    <w:rsid w:val="007920F5"/>
    <w:rsid w:val="007A1172"/>
    <w:rsid w:val="007B2309"/>
    <w:rsid w:val="007B23FD"/>
    <w:rsid w:val="007B44BA"/>
    <w:rsid w:val="007C0ABA"/>
    <w:rsid w:val="007C1494"/>
    <w:rsid w:val="007C3636"/>
    <w:rsid w:val="007C50A9"/>
    <w:rsid w:val="007D28E3"/>
    <w:rsid w:val="007D43F5"/>
    <w:rsid w:val="007D7134"/>
    <w:rsid w:val="007E2675"/>
    <w:rsid w:val="007E753C"/>
    <w:rsid w:val="008055C8"/>
    <w:rsid w:val="00813EE5"/>
    <w:rsid w:val="00825C73"/>
    <w:rsid w:val="00826121"/>
    <w:rsid w:val="00836DB0"/>
    <w:rsid w:val="00836E1E"/>
    <w:rsid w:val="00841A47"/>
    <w:rsid w:val="00847212"/>
    <w:rsid w:val="00851F66"/>
    <w:rsid w:val="00862762"/>
    <w:rsid w:val="0086401A"/>
    <w:rsid w:val="008651DC"/>
    <w:rsid w:val="00866C73"/>
    <w:rsid w:val="00877C5A"/>
    <w:rsid w:val="00880296"/>
    <w:rsid w:val="00885F75"/>
    <w:rsid w:val="00892B94"/>
    <w:rsid w:val="00893CE0"/>
    <w:rsid w:val="00894551"/>
    <w:rsid w:val="008A0D38"/>
    <w:rsid w:val="008A2CF8"/>
    <w:rsid w:val="008A436E"/>
    <w:rsid w:val="008A51C5"/>
    <w:rsid w:val="008B05F2"/>
    <w:rsid w:val="008B7141"/>
    <w:rsid w:val="008C0567"/>
    <w:rsid w:val="008C22F0"/>
    <w:rsid w:val="008C344F"/>
    <w:rsid w:val="008C46DC"/>
    <w:rsid w:val="008D0400"/>
    <w:rsid w:val="008E05A6"/>
    <w:rsid w:val="008E12E6"/>
    <w:rsid w:val="008E6558"/>
    <w:rsid w:val="008E6DC8"/>
    <w:rsid w:val="008F1C8E"/>
    <w:rsid w:val="008F72EB"/>
    <w:rsid w:val="0090089A"/>
    <w:rsid w:val="00904572"/>
    <w:rsid w:val="00904C16"/>
    <w:rsid w:val="00910B36"/>
    <w:rsid w:val="0091136B"/>
    <w:rsid w:val="009133B1"/>
    <w:rsid w:val="00913E1E"/>
    <w:rsid w:val="00927056"/>
    <w:rsid w:val="009331D5"/>
    <w:rsid w:val="009356E0"/>
    <w:rsid w:val="009378B2"/>
    <w:rsid w:val="00940F27"/>
    <w:rsid w:val="00945B31"/>
    <w:rsid w:val="00945DA4"/>
    <w:rsid w:val="0094684D"/>
    <w:rsid w:val="00953391"/>
    <w:rsid w:val="009649DE"/>
    <w:rsid w:val="009650A1"/>
    <w:rsid w:val="00966BA4"/>
    <w:rsid w:val="00970E23"/>
    <w:rsid w:val="00971BB1"/>
    <w:rsid w:val="00971D91"/>
    <w:rsid w:val="00975A4F"/>
    <w:rsid w:val="00975C20"/>
    <w:rsid w:val="009814B1"/>
    <w:rsid w:val="00981515"/>
    <w:rsid w:val="00983DB3"/>
    <w:rsid w:val="009867F2"/>
    <w:rsid w:val="00990E31"/>
    <w:rsid w:val="00993943"/>
    <w:rsid w:val="00993C17"/>
    <w:rsid w:val="00993D19"/>
    <w:rsid w:val="00995350"/>
    <w:rsid w:val="0099584C"/>
    <w:rsid w:val="00997683"/>
    <w:rsid w:val="00997D8C"/>
    <w:rsid w:val="009A136C"/>
    <w:rsid w:val="009A1BDB"/>
    <w:rsid w:val="009A388D"/>
    <w:rsid w:val="009A5A68"/>
    <w:rsid w:val="009B01B3"/>
    <w:rsid w:val="009B7527"/>
    <w:rsid w:val="009C1AD6"/>
    <w:rsid w:val="009C252D"/>
    <w:rsid w:val="009D3231"/>
    <w:rsid w:val="009D589E"/>
    <w:rsid w:val="009D62FB"/>
    <w:rsid w:val="009E1E53"/>
    <w:rsid w:val="009E4A4F"/>
    <w:rsid w:val="009F1B93"/>
    <w:rsid w:val="009F2A33"/>
    <w:rsid w:val="009F2B4D"/>
    <w:rsid w:val="009F3199"/>
    <w:rsid w:val="009F74B1"/>
    <w:rsid w:val="00A01261"/>
    <w:rsid w:val="00A071B4"/>
    <w:rsid w:val="00A07E0F"/>
    <w:rsid w:val="00A100C8"/>
    <w:rsid w:val="00A1026A"/>
    <w:rsid w:val="00A103FC"/>
    <w:rsid w:val="00A1366A"/>
    <w:rsid w:val="00A14BEB"/>
    <w:rsid w:val="00A15846"/>
    <w:rsid w:val="00A22DF4"/>
    <w:rsid w:val="00A231D6"/>
    <w:rsid w:val="00A25C9B"/>
    <w:rsid w:val="00A25EB1"/>
    <w:rsid w:val="00A606A6"/>
    <w:rsid w:val="00A72845"/>
    <w:rsid w:val="00A7761B"/>
    <w:rsid w:val="00A77973"/>
    <w:rsid w:val="00A81E10"/>
    <w:rsid w:val="00A96621"/>
    <w:rsid w:val="00A97180"/>
    <w:rsid w:val="00AA6333"/>
    <w:rsid w:val="00AB03CF"/>
    <w:rsid w:val="00AB11B6"/>
    <w:rsid w:val="00AC2138"/>
    <w:rsid w:val="00AC3705"/>
    <w:rsid w:val="00AC615E"/>
    <w:rsid w:val="00AD0E5C"/>
    <w:rsid w:val="00AD48A7"/>
    <w:rsid w:val="00B12A2D"/>
    <w:rsid w:val="00B167A6"/>
    <w:rsid w:val="00B20616"/>
    <w:rsid w:val="00B24E56"/>
    <w:rsid w:val="00B25058"/>
    <w:rsid w:val="00B251AB"/>
    <w:rsid w:val="00B34227"/>
    <w:rsid w:val="00B37438"/>
    <w:rsid w:val="00B403C2"/>
    <w:rsid w:val="00B4383E"/>
    <w:rsid w:val="00B45D19"/>
    <w:rsid w:val="00B47D37"/>
    <w:rsid w:val="00B548D5"/>
    <w:rsid w:val="00B56217"/>
    <w:rsid w:val="00B61563"/>
    <w:rsid w:val="00B649D6"/>
    <w:rsid w:val="00B65BE2"/>
    <w:rsid w:val="00B711C0"/>
    <w:rsid w:val="00B80707"/>
    <w:rsid w:val="00B80D10"/>
    <w:rsid w:val="00B86992"/>
    <w:rsid w:val="00B90CE6"/>
    <w:rsid w:val="00B93241"/>
    <w:rsid w:val="00B94F1D"/>
    <w:rsid w:val="00B9541A"/>
    <w:rsid w:val="00BA15BF"/>
    <w:rsid w:val="00BA31B9"/>
    <w:rsid w:val="00BA5823"/>
    <w:rsid w:val="00BA5E61"/>
    <w:rsid w:val="00BB04D1"/>
    <w:rsid w:val="00BB67F7"/>
    <w:rsid w:val="00BB6E25"/>
    <w:rsid w:val="00BC042B"/>
    <w:rsid w:val="00BC0918"/>
    <w:rsid w:val="00BC275F"/>
    <w:rsid w:val="00BC3D2F"/>
    <w:rsid w:val="00BC6EEC"/>
    <w:rsid w:val="00BE33BD"/>
    <w:rsid w:val="00BE5258"/>
    <w:rsid w:val="00BE604E"/>
    <w:rsid w:val="00BE7675"/>
    <w:rsid w:val="00BF0388"/>
    <w:rsid w:val="00BF7CE1"/>
    <w:rsid w:val="00C0445D"/>
    <w:rsid w:val="00C06852"/>
    <w:rsid w:val="00C12263"/>
    <w:rsid w:val="00C1603C"/>
    <w:rsid w:val="00C221B2"/>
    <w:rsid w:val="00C25BEF"/>
    <w:rsid w:val="00C27CE6"/>
    <w:rsid w:val="00C3529B"/>
    <w:rsid w:val="00C356D6"/>
    <w:rsid w:val="00C35870"/>
    <w:rsid w:val="00C36283"/>
    <w:rsid w:val="00C40C85"/>
    <w:rsid w:val="00C442B6"/>
    <w:rsid w:val="00C465F7"/>
    <w:rsid w:val="00C516E4"/>
    <w:rsid w:val="00C52C26"/>
    <w:rsid w:val="00C62D6B"/>
    <w:rsid w:val="00C6380B"/>
    <w:rsid w:val="00C648A0"/>
    <w:rsid w:val="00C64CE2"/>
    <w:rsid w:val="00C75B7A"/>
    <w:rsid w:val="00C84346"/>
    <w:rsid w:val="00C8485F"/>
    <w:rsid w:val="00C8657E"/>
    <w:rsid w:val="00C871EA"/>
    <w:rsid w:val="00C93B25"/>
    <w:rsid w:val="00C951D6"/>
    <w:rsid w:val="00C962F3"/>
    <w:rsid w:val="00CA0B04"/>
    <w:rsid w:val="00CA2838"/>
    <w:rsid w:val="00CA69D1"/>
    <w:rsid w:val="00CB2281"/>
    <w:rsid w:val="00CB4913"/>
    <w:rsid w:val="00CB666B"/>
    <w:rsid w:val="00CC1BB4"/>
    <w:rsid w:val="00CC5E60"/>
    <w:rsid w:val="00CD11A6"/>
    <w:rsid w:val="00CD2EA0"/>
    <w:rsid w:val="00CD424E"/>
    <w:rsid w:val="00CD5C18"/>
    <w:rsid w:val="00CE4C6D"/>
    <w:rsid w:val="00CE71BD"/>
    <w:rsid w:val="00CE7B6B"/>
    <w:rsid w:val="00CF2A9F"/>
    <w:rsid w:val="00CF36E4"/>
    <w:rsid w:val="00CF5E42"/>
    <w:rsid w:val="00D031CA"/>
    <w:rsid w:val="00D10509"/>
    <w:rsid w:val="00D10969"/>
    <w:rsid w:val="00D116AB"/>
    <w:rsid w:val="00D14DE8"/>
    <w:rsid w:val="00D179EE"/>
    <w:rsid w:val="00D2089F"/>
    <w:rsid w:val="00D21498"/>
    <w:rsid w:val="00D23207"/>
    <w:rsid w:val="00D2333F"/>
    <w:rsid w:val="00D24377"/>
    <w:rsid w:val="00D31C5E"/>
    <w:rsid w:val="00D31EE3"/>
    <w:rsid w:val="00D34AA7"/>
    <w:rsid w:val="00D412D6"/>
    <w:rsid w:val="00D47D3B"/>
    <w:rsid w:val="00D5546D"/>
    <w:rsid w:val="00D616FF"/>
    <w:rsid w:val="00D73D83"/>
    <w:rsid w:val="00D81F3A"/>
    <w:rsid w:val="00D83205"/>
    <w:rsid w:val="00D833B8"/>
    <w:rsid w:val="00D83B81"/>
    <w:rsid w:val="00D846B4"/>
    <w:rsid w:val="00D8733C"/>
    <w:rsid w:val="00D90169"/>
    <w:rsid w:val="00D91BD2"/>
    <w:rsid w:val="00D94DCA"/>
    <w:rsid w:val="00DA0280"/>
    <w:rsid w:val="00DA1A96"/>
    <w:rsid w:val="00DA2125"/>
    <w:rsid w:val="00DA352D"/>
    <w:rsid w:val="00DA5353"/>
    <w:rsid w:val="00DB39FE"/>
    <w:rsid w:val="00DD2038"/>
    <w:rsid w:val="00DE63B5"/>
    <w:rsid w:val="00DF20CC"/>
    <w:rsid w:val="00DF2BF9"/>
    <w:rsid w:val="00DF504C"/>
    <w:rsid w:val="00DF7870"/>
    <w:rsid w:val="00E00095"/>
    <w:rsid w:val="00E01EEE"/>
    <w:rsid w:val="00E037DD"/>
    <w:rsid w:val="00E1364A"/>
    <w:rsid w:val="00E16DDA"/>
    <w:rsid w:val="00E16F9E"/>
    <w:rsid w:val="00E17549"/>
    <w:rsid w:val="00E21F8B"/>
    <w:rsid w:val="00E33949"/>
    <w:rsid w:val="00E34D02"/>
    <w:rsid w:val="00E36CB2"/>
    <w:rsid w:val="00E42956"/>
    <w:rsid w:val="00E448F6"/>
    <w:rsid w:val="00E47808"/>
    <w:rsid w:val="00E5648E"/>
    <w:rsid w:val="00E56F68"/>
    <w:rsid w:val="00E62DAB"/>
    <w:rsid w:val="00E81D4B"/>
    <w:rsid w:val="00E82A14"/>
    <w:rsid w:val="00E874A5"/>
    <w:rsid w:val="00E91AC8"/>
    <w:rsid w:val="00E92592"/>
    <w:rsid w:val="00E941BD"/>
    <w:rsid w:val="00E942AD"/>
    <w:rsid w:val="00EA5902"/>
    <w:rsid w:val="00EA65DC"/>
    <w:rsid w:val="00EB5337"/>
    <w:rsid w:val="00EC3BB5"/>
    <w:rsid w:val="00EC48F3"/>
    <w:rsid w:val="00ED1F7F"/>
    <w:rsid w:val="00ED4CA8"/>
    <w:rsid w:val="00EF00C7"/>
    <w:rsid w:val="00EF1862"/>
    <w:rsid w:val="00EF3D4F"/>
    <w:rsid w:val="00EF5EDC"/>
    <w:rsid w:val="00F00916"/>
    <w:rsid w:val="00F0220D"/>
    <w:rsid w:val="00F06947"/>
    <w:rsid w:val="00F07E9E"/>
    <w:rsid w:val="00F107E7"/>
    <w:rsid w:val="00F15C34"/>
    <w:rsid w:val="00F174C2"/>
    <w:rsid w:val="00F20279"/>
    <w:rsid w:val="00F20E9B"/>
    <w:rsid w:val="00F22D28"/>
    <w:rsid w:val="00F2357A"/>
    <w:rsid w:val="00F36AA3"/>
    <w:rsid w:val="00F37D8E"/>
    <w:rsid w:val="00F4026E"/>
    <w:rsid w:val="00F44806"/>
    <w:rsid w:val="00F517D1"/>
    <w:rsid w:val="00F55E17"/>
    <w:rsid w:val="00F63AED"/>
    <w:rsid w:val="00F665AC"/>
    <w:rsid w:val="00F722CA"/>
    <w:rsid w:val="00F72644"/>
    <w:rsid w:val="00F7538C"/>
    <w:rsid w:val="00F76486"/>
    <w:rsid w:val="00F7724B"/>
    <w:rsid w:val="00F77A23"/>
    <w:rsid w:val="00F83424"/>
    <w:rsid w:val="00F9186A"/>
    <w:rsid w:val="00F928D3"/>
    <w:rsid w:val="00F96E8D"/>
    <w:rsid w:val="00FA1362"/>
    <w:rsid w:val="00FA3199"/>
    <w:rsid w:val="00FA4AF5"/>
    <w:rsid w:val="00FB2649"/>
    <w:rsid w:val="00FB5F4D"/>
    <w:rsid w:val="00FC2E8E"/>
    <w:rsid w:val="00FC3AD6"/>
    <w:rsid w:val="00FC51D6"/>
    <w:rsid w:val="00FC532E"/>
    <w:rsid w:val="00FC53E7"/>
    <w:rsid w:val="00FD698A"/>
    <w:rsid w:val="00FE0E3A"/>
    <w:rsid w:val="00FE178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6246FF1"/>
  <w15:docId w15:val="{843925EA-903F-4C08-B49F-1507CF67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AC5"/>
    <w:rPr>
      <w:bCs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04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7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62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604E"/>
    <w:rPr>
      <w:rFonts w:ascii="Arial" w:hAnsi="Arial" w:cs="Arial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BE604E"/>
    <w:pPr>
      <w:jc w:val="center"/>
    </w:pPr>
    <w:rPr>
      <w:b/>
    </w:rPr>
  </w:style>
  <w:style w:type="character" w:customStyle="1" w:styleId="TitleChar">
    <w:name w:val="Title Char"/>
    <w:link w:val="Title"/>
    <w:rsid w:val="00BE604E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604E"/>
    <w:rPr>
      <w:szCs w:val="20"/>
    </w:rPr>
  </w:style>
  <w:style w:type="character" w:customStyle="1" w:styleId="FootnoteTextChar">
    <w:name w:val="Footnote Text Char"/>
    <w:link w:val="FootnoteText"/>
    <w:rsid w:val="00BE604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7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73B3C"/>
    <w:rPr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90E31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990E31"/>
    <w:rPr>
      <w:sz w:val="24"/>
      <w:lang w:eastAsia="en-US"/>
    </w:rPr>
  </w:style>
  <w:style w:type="paragraph" w:styleId="BodyText2">
    <w:name w:val="Body Text 2"/>
    <w:basedOn w:val="Normal"/>
    <w:link w:val="BodyText2Char"/>
    <w:rsid w:val="00990E31"/>
    <w:pPr>
      <w:spacing w:after="120"/>
      <w:jc w:val="both"/>
    </w:pPr>
    <w:rPr>
      <w:rFonts w:ascii="Trebuchet MS" w:hAnsi="Trebuchet MS"/>
      <w:sz w:val="22"/>
      <w:szCs w:val="20"/>
    </w:rPr>
  </w:style>
  <w:style w:type="character" w:customStyle="1" w:styleId="BodyText2Char">
    <w:name w:val="Body Text 2 Char"/>
    <w:link w:val="BodyText2"/>
    <w:rsid w:val="00990E31"/>
    <w:rPr>
      <w:rFonts w:ascii="Trebuchet MS" w:hAnsi="Trebuchet MS"/>
      <w:sz w:val="22"/>
      <w:lang w:eastAsia="en-US"/>
    </w:rPr>
  </w:style>
  <w:style w:type="character" w:customStyle="1" w:styleId="FooterChar">
    <w:name w:val="Footer Char"/>
    <w:link w:val="Footer"/>
    <w:uiPriority w:val="99"/>
    <w:rsid w:val="006977FD"/>
    <w:rPr>
      <w:sz w:val="24"/>
      <w:szCs w:val="24"/>
      <w:lang w:eastAsia="en-US"/>
    </w:rPr>
  </w:style>
  <w:style w:type="paragraph" w:customStyle="1" w:styleId="Default">
    <w:name w:val="Default"/>
    <w:rsid w:val="008E6DC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8E3"/>
    <w:pPr>
      <w:ind w:left="720"/>
    </w:pPr>
  </w:style>
  <w:style w:type="paragraph" w:customStyle="1" w:styleId="Listbullet2">
    <w:name w:val="List bullet2"/>
    <w:basedOn w:val="Normal"/>
    <w:rsid w:val="00945B31"/>
    <w:pPr>
      <w:numPr>
        <w:numId w:val="1"/>
      </w:numPr>
      <w:tabs>
        <w:tab w:val="clear" w:pos="1219"/>
        <w:tab w:val="left" w:pos="1418"/>
      </w:tabs>
      <w:spacing w:after="120"/>
      <w:ind w:left="1418" w:hanging="567"/>
    </w:pPr>
    <w:rPr>
      <w:rFonts w:ascii="Tahoma" w:hAnsi="Tahoma" w:cs="Times New Roman"/>
      <w:bCs w:val="0"/>
      <w:sz w:val="22"/>
    </w:rPr>
  </w:style>
  <w:style w:type="paragraph" w:customStyle="1" w:styleId="Tablenormal0">
    <w:name w:val="Tablenormal"/>
    <w:basedOn w:val="Normal"/>
    <w:link w:val="TablenormalChar"/>
    <w:rsid w:val="00945B31"/>
    <w:pPr>
      <w:spacing w:before="120" w:after="120"/>
    </w:pPr>
    <w:rPr>
      <w:rFonts w:ascii="Tahoma" w:hAnsi="Tahoma" w:cs="Times New Roman"/>
      <w:bCs w:val="0"/>
      <w:sz w:val="22"/>
      <w:lang w:val="en-US"/>
    </w:rPr>
  </w:style>
  <w:style w:type="character" w:customStyle="1" w:styleId="TablenormalChar">
    <w:name w:val="Tablenormal Char"/>
    <w:link w:val="Tablenormal0"/>
    <w:rsid w:val="00945B31"/>
    <w:rPr>
      <w:rFonts w:ascii="Tahoma" w:hAnsi="Tahoma" w:cs="Times New Roman"/>
      <w:sz w:val="22"/>
      <w:szCs w:val="24"/>
      <w:lang w:val="en-US" w:eastAsia="en-US"/>
    </w:rPr>
  </w:style>
  <w:style w:type="paragraph" w:styleId="ListBullet">
    <w:name w:val="List Bullet"/>
    <w:basedOn w:val="Normal"/>
    <w:rsid w:val="00945B31"/>
    <w:pPr>
      <w:numPr>
        <w:numId w:val="2"/>
      </w:numPr>
    </w:pPr>
    <w:rPr>
      <w:rFonts w:ascii="Tahoma" w:hAnsi="Tahoma" w:cs="Times New Roman"/>
      <w:bCs w:val="0"/>
      <w:sz w:val="22"/>
    </w:rPr>
  </w:style>
  <w:style w:type="paragraph" w:customStyle="1" w:styleId="Tablenormal2">
    <w:name w:val="Tablenormal2"/>
    <w:basedOn w:val="Header"/>
    <w:rsid w:val="00945B31"/>
    <w:pPr>
      <w:tabs>
        <w:tab w:val="clear" w:pos="4320"/>
        <w:tab w:val="clear" w:pos="8640"/>
      </w:tabs>
      <w:spacing w:before="60" w:after="60"/>
    </w:pPr>
    <w:rPr>
      <w:rFonts w:ascii="Tahoma" w:hAnsi="Tahoma" w:cs="Tahoma"/>
      <w:bCs w:val="0"/>
      <w:snapToGrid w:val="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7761B"/>
    <w:rPr>
      <w:rFonts w:asciiTheme="majorHAnsi" w:eastAsiaTheme="majorEastAsia" w:hAnsiTheme="majorHAnsi" w:cstheme="majorBidi"/>
      <w:b/>
      <w:color w:val="4F81BD" w:themeColor="accent1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A776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761B"/>
    <w:rPr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A776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61B"/>
    <w:rPr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77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61B"/>
    <w:rPr>
      <w:bCs/>
      <w:sz w:val="18"/>
      <w:szCs w:val="24"/>
      <w:lang w:eastAsia="en-US"/>
    </w:rPr>
  </w:style>
  <w:style w:type="paragraph" w:styleId="BlockText">
    <w:name w:val="Block Text"/>
    <w:basedOn w:val="Normal"/>
    <w:rsid w:val="00A7761B"/>
    <w:pPr>
      <w:overflowPunct w:val="0"/>
      <w:autoSpaceDE w:val="0"/>
      <w:autoSpaceDN w:val="0"/>
      <w:adjustRightInd w:val="0"/>
      <w:ind w:left="304" w:right="61"/>
      <w:textAlignment w:val="baseline"/>
    </w:pPr>
    <w:rPr>
      <w:rFonts w:ascii="Arial" w:hAnsi="Arial" w:cs="Times New Roman"/>
      <w:bCs w:val="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CD11A6"/>
    <w:rPr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hayward\Local%20Settings\Temporary%20Internet%20Files\Content.Outlook\GWS3AZ2G\Position%20Description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FFFC-79B9-49A5-8151-FDE62F4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2014</Template>
  <TotalTime>770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Anita Hayward</dc:creator>
  <cp:lastModifiedBy>HR - Aminya</cp:lastModifiedBy>
  <cp:revision>107</cp:revision>
  <cp:lastPrinted>2020-10-21T03:53:00Z</cp:lastPrinted>
  <dcterms:created xsi:type="dcterms:W3CDTF">2018-02-14T23:57:00Z</dcterms:created>
  <dcterms:modified xsi:type="dcterms:W3CDTF">2020-10-21T03:53:00Z</dcterms:modified>
</cp:coreProperties>
</file>